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836EC" w14:textId="77777777" w:rsidR="00CB7F1C" w:rsidRDefault="00CB7F1C" w:rsidP="00CB7F1C">
      <w:r>
        <w:t>Laba diena,</w:t>
      </w:r>
    </w:p>
    <w:p w14:paraId="4AD53F0D" w14:textId="0075B6A5" w:rsidR="00CB7F1C" w:rsidRDefault="00622B6B" w:rsidP="00C60521">
      <w:pPr>
        <w:jc w:val="both"/>
      </w:pPr>
      <w:r>
        <w:t>Šiandien</w:t>
      </w:r>
      <w:r w:rsidR="00CB7F1C">
        <w:t xml:space="preserve"> startuo</w:t>
      </w:r>
      <w:r>
        <w:t>ja</w:t>
      </w:r>
      <w:r w:rsidR="00CB7F1C">
        <w:t xml:space="preserve"> skatinamoji finansinė priemonė „Paskolos turizmo </w:t>
      </w:r>
      <w:r w:rsidR="00030A0D">
        <w:t xml:space="preserve">ir viešojo maitinimo </w:t>
      </w:r>
      <w:r w:rsidR="00CB7F1C">
        <w:t>paslaugų teikėjams“. Iš priemonės lėšų teikiamos lengvatinės paskolos:</w:t>
      </w:r>
    </w:p>
    <w:p w14:paraId="4DC037D5" w14:textId="68B44043" w:rsidR="00CB7F1C" w:rsidRDefault="00CB7F1C" w:rsidP="00C60521">
      <w:pPr>
        <w:pStyle w:val="ListParagraph"/>
        <w:numPr>
          <w:ilvl w:val="0"/>
          <w:numId w:val="16"/>
        </w:numPr>
        <w:jc w:val="both"/>
      </w:pPr>
      <w:r>
        <w:t xml:space="preserve"> kelionių organizatoriams jų atsiskaitymui su turistais už dėl COVID-19 protrūkio neįvykusias keliones; </w:t>
      </w:r>
    </w:p>
    <w:p w14:paraId="591745BA" w14:textId="661248F7" w:rsidR="00CB7F1C" w:rsidRDefault="00CB7F1C" w:rsidP="00C60521">
      <w:pPr>
        <w:pStyle w:val="ListParagraph"/>
        <w:numPr>
          <w:ilvl w:val="0"/>
          <w:numId w:val="16"/>
        </w:numPr>
        <w:jc w:val="both"/>
      </w:pPr>
      <w:r>
        <w:t>apgyvendinimo paslaugų teikėjams, teikiantiems klasifikuojamąsias apgyvendinimo paslaugas, bei viešojo maitinimo paslaugas teikiantiems verslo subjektams, būtinųjų išlaidų finansavimui.</w:t>
      </w:r>
    </w:p>
    <w:p w14:paraId="712EB969" w14:textId="7D9D7C77" w:rsidR="00622B6B" w:rsidRDefault="00CB7F1C" w:rsidP="00C60521">
      <w:pPr>
        <w:jc w:val="both"/>
      </w:pPr>
      <w:r w:rsidRPr="00CB7F1C">
        <w:t>Paraiškų teikimas organizuojamas kvietimu</w:t>
      </w:r>
      <w:r>
        <w:t xml:space="preserve"> ir jis </w:t>
      </w:r>
      <w:r w:rsidR="00622B6B">
        <w:t>pas</w:t>
      </w:r>
      <w:r w:rsidRPr="00CB7F1C">
        <w:t>kelb</w:t>
      </w:r>
      <w:r w:rsidR="00622B6B">
        <w:t>tas</w:t>
      </w:r>
      <w:r w:rsidRPr="00CB7F1C">
        <w:t xml:space="preserve"> viešai „Invegos“ interneto svetainėje </w:t>
      </w:r>
      <w:hyperlink r:id="rId5" w:history="1">
        <w:r w:rsidR="00622B6B" w:rsidRPr="00E45ECC">
          <w:rPr>
            <w:rStyle w:val="Hyperlink"/>
          </w:rPr>
          <w:t>https://invega.lt/lt/kvietimas-teikti-paraiskas-pagal-skatinamaja-finansine-priemone-paskolos-turizmo-ir-viesojo-maitinimo-paslaugu-teikejams/</w:t>
        </w:r>
      </w:hyperlink>
    </w:p>
    <w:p w14:paraId="414C59F3" w14:textId="1EFA7B12" w:rsidR="00CB7F1C" w:rsidRPr="003C5749" w:rsidRDefault="00CB7F1C" w:rsidP="00C60521">
      <w:pPr>
        <w:jc w:val="both"/>
        <w:rPr>
          <w:b/>
          <w:bCs/>
        </w:rPr>
      </w:pPr>
      <w:r w:rsidRPr="003C5749">
        <w:rPr>
          <w:b/>
          <w:bCs/>
        </w:rPr>
        <w:t>Kviečiame susipažinti su sąlygomis</w:t>
      </w:r>
      <w:r w:rsidR="000638F9" w:rsidRPr="003C5749">
        <w:rPr>
          <w:b/>
          <w:bCs/>
        </w:rPr>
        <w:t xml:space="preserve">, įsivertinti galimybes gauti paskolą, </w:t>
      </w:r>
      <w:r w:rsidRPr="003C5749">
        <w:rPr>
          <w:b/>
          <w:bCs/>
        </w:rPr>
        <w:t>ir rengti dokumentus, kurie reikalingi teikiant paraiškas</w:t>
      </w:r>
      <w:r w:rsidR="00F23DC2">
        <w:rPr>
          <w:b/>
          <w:bCs/>
        </w:rPr>
        <w:t>.</w:t>
      </w:r>
    </w:p>
    <w:p w14:paraId="428E12D1" w14:textId="7205BC71" w:rsidR="000638F9" w:rsidRDefault="002803A2" w:rsidP="00C60521">
      <w:pPr>
        <w:jc w:val="both"/>
      </w:pPr>
      <w:r>
        <w:rPr>
          <w:b/>
          <w:bCs/>
          <w:u w:val="single"/>
        </w:rPr>
        <w:t>Pagrindinės p</w:t>
      </w:r>
      <w:r w:rsidR="000638F9" w:rsidRPr="000638F9">
        <w:rPr>
          <w:b/>
          <w:bCs/>
          <w:u w:val="single"/>
        </w:rPr>
        <w:t>askolų sąlygos kelionių organizatoriams</w:t>
      </w:r>
      <w:r w:rsidR="000638F9" w:rsidRPr="000638F9">
        <w:t>:</w:t>
      </w:r>
    </w:p>
    <w:p w14:paraId="6C278515" w14:textId="1172524E" w:rsidR="002803A2" w:rsidRPr="00F23DC2" w:rsidRDefault="00F23DC2" w:rsidP="00C60521">
      <w:pPr>
        <w:pStyle w:val="ListParagraph"/>
        <w:numPr>
          <w:ilvl w:val="0"/>
          <w:numId w:val="18"/>
        </w:numPr>
        <w:jc w:val="both"/>
        <w:rPr>
          <w:rFonts w:cstheme="minorHAnsi"/>
        </w:rPr>
      </w:pPr>
      <w:r>
        <w:rPr>
          <w:rFonts w:cstheme="minorHAnsi"/>
        </w:rPr>
        <w:t>p</w:t>
      </w:r>
      <w:r w:rsidR="002803A2" w:rsidRPr="00F23DC2">
        <w:rPr>
          <w:rFonts w:cstheme="minorHAnsi"/>
        </w:rPr>
        <w:t>askol</w:t>
      </w:r>
      <w:r w:rsidR="00AC38AB" w:rsidRPr="00F23DC2">
        <w:rPr>
          <w:rFonts w:cstheme="minorHAnsi"/>
        </w:rPr>
        <w:t>os sutartis gali būti pasirašyta</w:t>
      </w:r>
      <w:r w:rsidR="002803A2" w:rsidRPr="00F23DC2">
        <w:rPr>
          <w:rFonts w:cstheme="minorHAnsi"/>
        </w:rPr>
        <w:t xml:space="preserve"> ne vėliau kaip 2020 m. gruodžio 31 d.</w:t>
      </w:r>
      <w:r>
        <w:rPr>
          <w:rFonts w:cstheme="minorHAnsi"/>
        </w:rPr>
        <w:t>;</w:t>
      </w:r>
      <w:r w:rsidR="002803A2" w:rsidRPr="00F23DC2">
        <w:rPr>
          <w:rFonts w:cstheme="minorHAnsi"/>
        </w:rPr>
        <w:t xml:space="preserve"> </w:t>
      </w:r>
    </w:p>
    <w:p w14:paraId="4CC1DB1B" w14:textId="58206094" w:rsidR="00AC38AB" w:rsidRPr="00F23DC2" w:rsidRDefault="00F23DC2" w:rsidP="00C60521">
      <w:pPr>
        <w:pStyle w:val="ListParagraph"/>
        <w:numPr>
          <w:ilvl w:val="0"/>
          <w:numId w:val="18"/>
        </w:numPr>
        <w:jc w:val="both"/>
        <w:rPr>
          <w:rFonts w:cstheme="minorHAnsi"/>
        </w:rPr>
      </w:pPr>
      <w:r>
        <w:rPr>
          <w:rFonts w:cstheme="minorHAnsi"/>
        </w:rPr>
        <w:t>v</w:t>
      </w:r>
      <w:r w:rsidR="00AC38AB" w:rsidRPr="00F23DC2">
        <w:rPr>
          <w:rFonts w:cstheme="minorHAnsi"/>
        </w:rPr>
        <w:t>ienas paskolos gavėjas gali gauti vieną paskolą</w:t>
      </w:r>
      <w:r>
        <w:rPr>
          <w:rFonts w:cstheme="minorHAnsi"/>
        </w:rPr>
        <w:t>;</w:t>
      </w:r>
    </w:p>
    <w:p w14:paraId="7B634D93" w14:textId="658B9070" w:rsidR="00296593" w:rsidRPr="00F23DC2" w:rsidRDefault="00F23DC2" w:rsidP="00C60521">
      <w:pPr>
        <w:pStyle w:val="ListParagraph"/>
        <w:numPr>
          <w:ilvl w:val="0"/>
          <w:numId w:val="18"/>
        </w:numPr>
        <w:jc w:val="both"/>
        <w:rPr>
          <w:rFonts w:cstheme="minorHAnsi"/>
        </w:rPr>
      </w:pPr>
      <w:r>
        <w:rPr>
          <w:rFonts w:cstheme="minorHAnsi"/>
        </w:rPr>
        <w:t>p</w:t>
      </w:r>
      <w:r w:rsidR="00AC38AB" w:rsidRPr="00F23DC2">
        <w:rPr>
          <w:rFonts w:cstheme="minorHAnsi"/>
        </w:rPr>
        <w:t>askolos lėšos turi būti išmokamos paskolos gavėjui ne vėliau kaip per 3 mėn. po paskolos sutarties sudarymo ir bet kuriuo atveju ne vėliau kaip 2021 m. kovo 31 d.</w:t>
      </w:r>
      <w:r>
        <w:rPr>
          <w:rFonts w:cstheme="minorHAnsi"/>
        </w:rPr>
        <w:t>;</w:t>
      </w:r>
    </w:p>
    <w:p w14:paraId="611B375B" w14:textId="285A0252" w:rsidR="002803A2" w:rsidRPr="00F23DC2" w:rsidRDefault="00F23DC2" w:rsidP="00C60521">
      <w:pPr>
        <w:pStyle w:val="ListParagraph"/>
        <w:numPr>
          <w:ilvl w:val="0"/>
          <w:numId w:val="18"/>
        </w:numPr>
        <w:jc w:val="both"/>
        <w:rPr>
          <w:rFonts w:cstheme="minorHAnsi"/>
        </w:rPr>
      </w:pPr>
      <w:r>
        <w:rPr>
          <w:rFonts w:cstheme="minorHAnsi"/>
        </w:rPr>
        <w:t>p</w:t>
      </w:r>
      <w:r w:rsidR="00296593" w:rsidRPr="00F23DC2">
        <w:rPr>
          <w:rFonts w:cstheme="minorHAnsi"/>
        </w:rPr>
        <w:t xml:space="preserve">askolos gavėjas per </w:t>
      </w:r>
      <w:r w:rsidR="00622B6B">
        <w:rPr>
          <w:rFonts w:cstheme="minorHAnsi"/>
        </w:rPr>
        <w:t>30</w:t>
      </w:r>
      <w:r w:rsidR="00296593" w:rsidRPr="00F23DC2">
        <w:rPr>
          <w:rFonts w:cstheme="minorHAnsi"/>
        </w:rPr>
        <w:t xml:space="preserve"> darbo dienų privalo pervesti lėšas atitinkamiems</w:t>
      </w:r>
      <w:r>
        <w:rPr>
          <w:rFonts w:cstheme="minorHAnsi"/>
        </w:rPr>
        <w:t xml:space="preserve"> t</w:t>
      </w:r>
      <w:r w:rsidR="00296593" w:rsidRPr="00F23DC2">
        <w:rPr>
          <w:rFonts w:cstheme="minorHAnsi"/>
        </w:rPr>
        <w:t xml:space="preserve">uristams ir per 10 darbo dienų pateikti </w:t>
      </w:r>
      <w:r>
        <w:rPr>
          <w:rFonts w:cstheme="minorHAnsi"/>
        </w:rPr>
        <w:t>p</w:t>
      </w:r>
      <w:r w:rsidR="00296593" w:rsidRPr="00F23DC2">
        <w:rPr>
          <w:rFonts w:cstheme="minorHAnsi"/>
        </w:rPr>
        <w:t>askolos panaudojimą pagal paskirtį pagrindžiančią informaciją „Invegai“</w:t>
      </w:r>
      <w:r>
        <w:rPr>
          <w:rFonts w:cstheme="minorHAnsi"/>
        </w:rPr>
        <w:t>;</w:t>
      </w:r>
    </w:p>
    <w:p w14:paraId="25488B07" w14:textId="4BC3CD32" w:rsidR="00296593" w:rsidRPr="00F23DC2" w:rsidRDefault="00F23DC2" w:rsidP="00C60521">
      <w:pPr>
        <w:pStyle w:val="ListParagraph"/>
        <w:numPr>
          <w:ilvl w:val="0"/>
          <w:numId w:val="18"/>
        </w:numPr>
        <w:jc w:val="both"/>
        <w:rPr>
          <w:rFonts w:cstheme="minorHAnsi"/>
        </w:rPr>
      </w:pPr>
      <w:r>
        <w:rPr>
          <w:rFonts w:cstheme="minorHAnsi"/>
          <w:lang w:eastAsia="lt-LT"/>
        </w:rPr>
        <w:t>p</w:t>
      </w:r>
      <w:r w:rsidR="00296593" w:rsidRPr="00F23DC2">
        <w:rPr>
          <w:rFonts w:cstheme="minorHAnsi"/>
          <w:lang w:eastAsia="lt-LT"/>
        </w:rPr>
        <w:t>askola turi būti pradėta grąžinta praėjus 6 arba 12 mėnesiams</w:t>
      </w:r>
      <w:r w:rsidR="005D256F">
        <w:rPr>
          <w:rFonts w:cstheme="minorHAnsi"/>
          <w:lang w:eastAsia="lt-LT"/>
        </w:rPr>
        <w:t xml:space="preserve"> (priklausomai nuo paskolos sumos)</w:t>
      </w:r>
      <w:r w:rsidR="00296593" w:rsidRPr="00F23DC2">
        <w:rPr>
          <w:rFonts w:cstheme="minorHAnsi"/>
          <w:lang w:eastAsia="lt-LT"/>
        </w:rPr>
        <w:t xml:space="preserve"> po </w:t>
      </w:r>
      <w:r w:rsidR="006B003D">
        <w:rPr>
          <w:rFonts w:cstheme="minorHAnsi"/>
          <w:lang w:eastAsia="lt-LT"/>
        </w:rPr>
        <w:t>p</w:t>
      </w:r>
      <w:r w:rsidR="00296593" w:rsidRPr="00F23DC2">
        <w:rPr>
          <w:rFonts w:cstheme="minorHAnsi"/>
          <w:lang w:eastAsia="lt-LT"/>
        </w:rPr>
        <w:t>askolos sutarties sudarymo dienos</w:t>
      </w:r>
      <w:r>
        <w:rPr>
          <w:rFonts w:cstheme="minorHAnsi"/>
          <w:lang w:eastAsia="lt-LT"/>
        </w:rPr>
        <w:t>;</w:t>
      </w:r>
    </w:p>
    <w:p w14:paraId="6CAB4FBC" w14:textId="63E97908" w:rsidR="00AC38AB" w:rsidRPr="00F23DC2" w:rsidRDefault="00F23DC2" w:rsidP="00C60521">
      <w:pPr>
        <w:pStyle w:val="ListParagraph"/>
        <w:numPr>
          <w:ilvl w:val="0"/>
          <w:numId w:val="18"/>
        </w:numPr>
        <w:jc w:val="both"/>
        <w:rPr>
          <w:rFonts w:cstheme="minorHAnsi"/>
        </w:rPr>
      </w:pPr>
      <w:r>
        <w:rPr>
          <w:rFonts w:cstheme="minorHAnsi"/>
        </w:rPr>
        <w:t>m</w:t>
      </w:r>
      <w:r w:rsidR="00AC38AB" w:rsidRPr="00F23DC2">
        <w:rPr>
          <w:rFonts w:cstheme="minorHAnsi"/>
        </w:rPr>
        <w:t>aksimali galima paskolos trukmė - 72 mėnesiai</w:t>
      </w:r>
      <w:r>
        <w:rPr>
          <w:rFonts w:cstheme="minorHAnsi"/>
        </w:rPr>
        <w:t>;</w:t>
      </w:r>
    </w:p>
    <w:p w14:paraId="3A6EB0E5" w14:textId="3D98AE6E" w:rsidR="00296593" w:rsidRDefault="00F23DC2" w:rsidP="00C60521">
      <w:pPr>
        <w:pStyle w:val="ListParagraph"/>
        <w:numPr>
          <w:ilvl w:val="0"/>
          <w:numId w:val="18"/>
        </w:numPr>
        <w:jc w:val="both"/>
      </w:pPr>
      <w:r>
        <w:rPr>
          <w:rFonts w:cstheme="minorHAnsi"/>
        </w:rPr>
        <w:t>p</w:t>
      </w:r>
      <w:r w:rsidR="00296593" w:rsidRPr="00F23DC2">
        <w:rPr>
          <w:rFonts w:cstheme="minorHAnsi"/>
        </w:rPr>
        <w:t>askolos iki 1 mln. Eur sumos suteikiamos be paskolos užtikrinimo priemonių. Paskolos užtikrinimo priemonės taikomos tai paskolos daliai, kuri viršija 1 mln. Eur sumą</w:t>
      </w:r>
      <w:r w:rsidRPr="00F23DC2">
        <w:rPr>
          <w:rFonts w:cstheme="minorHAnsi"/>
        </w:rPr>
        <w:t>;</w:t>
      </w:r>
    </w:p>
    <w:p w14:paraId="36A479F8" w14:textId="38185A04" w:rsidR="00AC38AB" w:rsidRDefault="00F23DC2" w:rsidP="00C60521">
      <w:pPr>
        <w:pStyle w:val="ListParagraph"/>
        <w:numPr>
          <w:ilvl w:val="0"/>
          <w:numId w:val="18"/>
        </w:numPr>
        <w:jc w:val="both"/>
      </w:pPr>
      <w:r>
        <w:t>d</w:t>
      </w:r>
      <w:r w:rsidR="00AC38AB">
        <w:t>idžiausia paskolos suma negali viršyti:</w:t>
      </w:r>
    </w:p>
    <w:p w14:paraId="4D8A2136" w14:textId="3A7F6E71" w:rsidR="00AC38AB" w:rsidRDefault="00AC38AB" w:rsidP="00C60521">
      <w:pPr>
        <w:pStyle w:val="ListParagraph"/>
        <w:numPr>
          <w:ilvl w:val="0"/>
          <w:numId w:val="7"/>
        </w:numPr>
        <w:jc w:val="both"/>
      </w:pPr>
      <w:r w:rsidRPr="008F6EE1">
        <w:t xml:space="preserve">25 procentų </w:t>
      </w:r>
      <w:r w:rsidR="008F6EE1" w:rsidRPr="008F6EE1">
        <w:t>p</w:t>
      </w:r>
      <w:r w:rsidRPr="008F6EE1">
        <w:t>askolos gavėjo 2019 m. apyvartos</w:t>
      </w:r>
      <w:r>
        <w:t>, arba</w:t>
      </w:r>
    </w:p>
    <w:p w14:paraId="3B8B3371" w14:textId="5C92185D" w:rsidR="00AC38AB" w:rsidRDefault="00AC38AB" w:rsidP="00C60521">
      <w:pPr>
        <w:pStyle w:val="ListParagraph"/>
        <w:numPr>
          <w:ilvl w:val="0"/>
          <w:numId w:val="7"/>
        </w:numPr>
        <w:jc w:val="both"/>
      </w:pPr>
      <w:r>
        <w:t xml:space="preserve">dvigubos </w:t>
      </w:r>
      <w:r w:rsidR="008F6EE1">
        <w:t>p</w:t>
      </w:r>
      <w:r>
        <w:t xml:space="preserve">askolos gavėjo darbuotojams priskaičiuotos darbo užmokesčio su mokesčiais, įskaitant privalomojo socialinio draudimo ir sveikatos draudimo įmokas, sumos per metus. Jei </w:t>
      </w:r>
      <w:r w:rsidR="008F6EE1">
        <w:t>p</w:t>
      </w:r>
      <w:r>
        <w:t xml:space="preserve">askolos gavėjas veiklą vykdė 2019 m. ir anksčiau, darbo užmokesčio su mokesčiais suma nustatoma pagal 2019 m. faktinius duomenis. Tais atvejais, kai </w:t>
      </w:r>
      <w:r w:rsidR="008F6EE1">
        <w:t>p</w:t>
      </w:r>
      <w:r>
        <w:t xml:space="preserve">askolos gavėjas pradėjo veiklą po 2019 m. sausio 1 d., </w:t>
      </w:r>
      <w:r w:rsidR="004645B3">
        <w:t>p</w:t>
      </w:r>
      <w:r>
        <w:t>askolos suma negali viršyti numatomos darbo užmokesčio su mokesčiais sumos, išmokėtinos per pirmuosius dvejus jo veiklos metus, apskaičiuotos remiantis iki 2020 m. kovo 16 d. buvusiais darbo užmokesčio duomenimis (</w:t>
      </w:r>
      <w:r w:rsidRPr="008F6EE1">
        <w:rPr>
          <w:i/>
          <w:iCs/>
          <w:color w:val="4472C4" w:themeColor="accent1"/>
        </w:rPr>
        <w:t xml:space="preserve">šis kriterijus vertinamas tik </w:t>
      </w:r>
      <w:r w:rsidR="008F6EE1" w:rsidRPr="008F6EE1">
        <w:rPr>
          <w:i/>
          <w:iCs/>
          <w:color w:val="4472C4" w:themeColor="accent1"/>
        </w:rPr>
        <w:t>p</w:t>
      </w:r>
      <w:r w:rsidRPr="008F6EE1">
        <w:rPr>
          <w:i/>
          <w:iCs/>
          <w:color w:val="4472C4" w:themeColor="accent1"/>
        </w:rPr>
        <w:t xml:space="preserve">askolos gavėjo prašymu ir šiuo atveju </w:t>
      </w:r>
      <w:r w:rsidR="008F6EE1" w:rsidRPr="008F6EE1">
        <w:rPr>
          <w:i/>
          <w:iCs/>
          <w:color w:val="4472C4" w:themeColor="accent1"/>
        </w:rPr>
        <w:t>p</w:t>
      </w:r>
      <w:r w:rsidRPr="008F6EE1">
        <w:rPr>
          <w:i/>
          <w:iCs/>
          <w:color w:val="4472C4" w:themeColor="accent1"/>
        </w:rPr>
        <w:t>askolos gavėjas tu</w:t>
      </w:r>
      <w:r w:rsidR="008F6EE1" w:rsidRPr="008F6EE1">
        <w:rPr>
          <w:i/>
          <w:iCs/>
          <w:color w:val="4472C4" w:themeColor="accent1"/>
        </w:rPr>
        <w:t>ri</w:t>
      </w:r>
      <w:r w:rsidRPr="008F6EE1">
        <w:rPr>
          <w:i/>
          <w:iCs/>
          <w:color w:val="4472C4" w:themeColor="accent1"/>
        </w:rPr>
        <w:t xml:space="preserve"> pateikti pagrindžiančius dokumentus šiai sumai apskaičiuoti</w:t>
      </w:r>
      <w:r w:rsidRPr="008F6EE1">
        <w:t>), ta</w:t>
      </w:r>
      <w:r>
        <w:t>čiau</w:t>
      </w:r>
    </w:p>
    <w:p w14:paraId="66415B47" w14:textId="353C4C09" w:rsidR="00AC38AB" w:rsidRDefault="00AC38AB" w:rsidP="00C60521">
      <w:pPr>
        <w:jc w:val="both"/>
      </w:pPr>
      <w:r>
        <w:t xml:space="preserve">visais atvejais </w:t>
      </w:r>
      <w:r w:rsidR="008F6EE1">
        <w:t>p</w:t>
      </w:r>
      <w:r>
        <w:t>askolos suma vienam Paskolos gavėjui negali viršyti:</w:t>
      </w:r>
    </w:p>
    <w:p w14:paraId="74579BD7" w14:textId="653DBCD3" w:rsidR="00AC38AB" w:rsidRDefault="00AC38AB" w:rsidP="00C60521">
      <w:pPr>
        <w:jc w:val="both"/>
      </w:pPr>
      <w:r>
        <w:t>a)</w:t>
      </w:r>
      <w:r>
        <w:tab/>
        <w:t>3 mln. Eur; ir</w:t>
      </w:r>
    </w:p>
    <w:p w14:paraId="45E80E7A" w14:textId="76EA1FC8" w:rsidR="00AC38AB" w:rsidRDefault="00AC38AB" w:rsidP="00C60521">
      <w:pPr>
        <w:jc w:val="both"/>
      </w:pPr>
      <w:r>
        <w:t>b)</w:t>
      </w:r>
      <w:r>
        <w:tab/>
      </w:r>
      <w:r w:rsidR="008F6EE1">
        <w:t>p</w:t>
      </w:r>
      <w:r>
        <w:t xml:space="preserve">askolos gavėjo paraiškos dėl </w:t>
      </w:r>
      <w:r w:rsidR="008F6EE1">
        <w:t>p</w:t>
      </w:r>
      <w:r>
        <w:t xml:space="preserve">askolos gavimo pateikimo metu turėtos draudimo įmonės prievolių įvykdymo laidavimo draudimo ir (ar) finansų įstaigos suteiktos finansinės garantijos </w:t>
      </w:r>
      <w:r>
        <w:lastRenderedPageBreak/>
        <w:t xml:space="preserve">sumos, tuo atveju, jei </w:t>
      </w:r>
      <w:r w:rsidR="008F6EE1">
        <w:t>p</w:t>
      </w:r>
      <w:r>
        <w:t xml:space="preserve">askolos gavėjo prievolių įvykdymo užtikrinimas yra nustatytas pagal </w:t>
      </w:r>
      <w:r w:rsidR="004645B3">
        <w:t xml:space="preserve">LR </w:t>
      </w:r>
      <w:r>
        <w:t>Turizmo įstatymo 12 straipsnio 1 dalį;</w:t>
      </w:r>
    </w:p>
    <w:p w14:paraId="1FD4D2D7" w14:textId="49BD4394" w:rsidR="00AC38AB" w:rsidRPr="008F6EE1" w:rsidRDefault="008F6EE1" w:rsidP="00C60521">
      <w:pPr>
        <w:pStyle w:val="ListParagraph"/>
        <w:numPr>
          <w:ilvl w:val="0"/>
          <w:numId w:val="19"/>
        </w:numPr>
        <w:jc w:val="both"/>
        <w:rPr>
          <w:rFonts w:cstheme="minorHAnsi"/>
        </w:rPr>
      </w:pPr>
      <w:r>
        <w:rPr>
          <w:rFonts w:cstheme="minorHAnsi"/>
        </w:rPr>
        <w:t>p</w:t>
      </w:r>
      <w:r w:rsidR="00AC38AB" w:rsidRPr="008F6EE1">
        <w:rPr>
          <w:rFonts w:cstheme="minorHAnsi"/>
        </w:rPr>
        <w:t>askolos dydis apskaičiuojamas pagal</w:t>
      </w:r>
      <w:r>
        <w:rPr>
          <w:rFonts w:cstheme="minorHAnsi"/>
        </w:rPr>
        <w:t xml:space="preserve"> p</w:t>
      </w:r>
      <w:r w:rsidR="00AC38AB" w:rsidRPr="008F6EE1">
        <w:rPr>
          <w:rFonts w:cstheme="minorHAnsi"/>
        </w:rPr>
        <w:t xml:space="preserve">askolos gavėjo paraiškos dėl </w:t>
      </w:r>
      <w:r>
        <w:rPr>
          <w:rFonts w:cstheme="minorHAnsi"/>
        </w:rPr>
        <w:t>p</w:t>
      </w:r>
      <w:r w:rsidR="00AC38AB" w:rsidRPr="008F6EE1">
        <w:rPr>
          <w:rFonts w:cstheme="minorHAnsi"/>
        </w:rPr>
        <w:t xml:space="preserve">askolos suteikimo pateikimo metu turimą grąžinti sumą </w:t>
      </w:r>
      <w:r>
        <w:rPr>
          <w:rFonts w:cstheme="minorHAnsi"/>
        </w:rPr>
        <w:t>t</w:t>
      </w:r>
      <w:r w:rsidR="00AC38AB" w:rsidRPr="008F6EE1">
        <w:rPr>
          <w:rFonts w:cstheme="minorHAnsi"/>
        </w:rPr>
        <w:t>uristams už dėl COVID-19 protrūkio neįvykusias keliones, t. y. kelionės, kurių organizuotos turistinės kelionės sutartys sudarytos iki 2020 m. kovo 16 d. ir kurios turėjo būti vykdomos nuo 2020 m. vasario 1 d.</w:t>
      </w:r>
      <w:r w:rsidR="005635BF">
        <w:rPr>
          <w:rFonts w:cstheme="minorHAnsi"/>
        </w:rPr>
        <w:t>;</w:t>
      </w:r>
    </w:p>
    <w:p w14:paraId="7AE59328" w14:textId="3444B067" w:rsidR="00296593" w:rsidRPr="008F6EE1" w:rsidRDefault="00296593" w:rsidP="00C60521">
      <w:pPr>
        <w:pStyle w:val="ListParagraph"/>
        <w:numPr>
          <w:ilvl w:val="0"/>
          <w:numId w:val="19"/>
        </w:numPr>
        <w:jc w:val="both"/>
        <w:rPr>
          <w:rFonts w:cstheme="minorHAnsi"/>
        </w:rPr>
      </w:pPr>
      <w:r w:rsidRPr="008F6EE1">
        <w:rPr>
          <w:rFonts w:cstheme="minorHAnsi"/>
        </w:rPr>
        <w:t>Paskolos palūkanos:</w:t>
      </w:r>
    </w:p>
    <w:p w14:paraId="61DADA0E" w14:textId="27B4F496" w:rsidR="00296593" w:rsidRPr="00296593" w:rsidRDefault="00296593" w:rsidP="00C60521">
      <w:pPr>
        <w:keepNext/>
        <w:autoSpaceDE w:val="0"/>
        <w:autoSpaceDN w:val="0"/>
        <w:spacing w:after="0" w:line="240" w:lineRule="auto"/>
        <w:contextualSpacing/>
        <w:jc w:val="both"/>
        <w:rPr>
          <w:rFonts w:cstheme="minorHAnsi"/>
        </w:rPr>
      </w:pPr>
      <w:r w:rsidRPr="00296593">
        <w:rPr>
          <w:rFonts w:cstheme="minorHAnsi"/>
        </w:rPr>
        <w:t xml:space="preserve">Fiksuota metinė palūkanų norma </w:t>
      </w:r>
      <w:r w:rsidR="008F6EE1" w:rsidRPr="008F6EE1">
        <w:rPr>
          <w:rFonts w:cstheme="minorHAnsi"/>
        </w:rPr>
        <w:t>p</w:t>
      </w:r>
      <w:r w:rsidRPr="00296593">
        <w:rPr>
          <w:rFonts w:cstheme="minorHAnsi"/>
        </w:rPr>
        <w:t xml:space="preserve">askoloms priklausomai nuo </w:t>
      </w:r>
      <w:r w:rsidR="008F6EE1" w:rsidRPr="008F6EE1">
        <w:rPr>
          <w:rFonts w:cstheme="minorHAnsi"/>
        </w:rPr>
        <w:t>p</w:t>
      </w:r>
      <w:r w:rsidRPr="00296593">
        <w:rPr>
          <w:rFonts w:cstheme="minorHAnsi"/>
        </w:rPr>
        <w:t>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126"/>
        <w:gridCol w:w="2007"/>
      </w:tblGrid>
      <w:tr w:rsidR="00296593" w:rsidRPr="00296593" w14:paraId="7EE55686" w14:textId="77777777" w:rsidTr="007A77B3">
        <w:tc>
          <w:tcPr>
            <w:tcW w:w="2030" w:type="dxa"/>
            <w:tcBorders>
              <w:top w:val="single" w:sz="4" w:space="0" w:color="auto"/>
              <w:left w:val="single" w:sz="4" w:space="0" w:color="auto"/>
              <w:bottom w:val="single" w:sz="4" w:space="0" w:color="auto"/>
              <w:right w:val="single" w:sz="4" w:space="0" w:color="auto"/>
            </w:tcBorders>
          </w:tcPr>
          <w:p w14:paraId="23EC3CC1" w14:textId="77777777" w:rsidR="00296593" w:rsidRPr="00296593" w:rsidRDefault="00296593" w:rsidP="00C60521">
            <w:pPr>
              <w:spacing w:after="0" w:line="240" w:lineRule="auto"/>
              <w:jc w:val="both"/>
              <w:rPr>
                <w:rFonts w:cstheme="minorHAnsi"/>
              </w:rPr>
            </w:pPr>
            <w:bookmarkStart w:id="0" w:name="_Hlk42181782"/>
            <w:r w:rsidRPr="00296593">
              <w:rPr>
                <w:rFonts w:cstheme="minorHAnsi"/>
              </w:rPr>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38E380A5" w14:textId="77777777" w:rsidR="00296593" w:rsidRPr="00296593" w:rsidRDefault="00296593" w:rsidP="00C60521">
            <w:pPr>
              <w:spacing w:after="0" w:line="240" w:lineRule="auto"/>
              <w:jc w:val="both"/>
              <w:rPr>
                <w:rFonts w:cstheme="minorHAnsi"/>
              </w:rPr>
            </w:pPr>
            <w:r w:rsidRPr="00296593">
              <w:rPr>
                <w:rFonts w:cstheme="minorHAnsi"/>
              </w:rPr>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0ACB0D31" w14:textId="77777777" w:rsidR="00296593" w:rsidRPr="00296593" w:rsidRDefault="00296593" w:rsidP="00C60521">
            <w:pPr>
              <w:spacing w:after="0" w:line="240" w:lineRule="auto"/>
              <w:jc w:val="both"/>
              <w:rPr>
                <w:rFonts w:cstheme="minorHAnsi"/>
              </w:rPr>
            </w:pPr>
            <w:r w:rsidRPr="00296593">
              <w:rPr>
                <w:rFonts w:cstheme="minorHAnsi"/>
              </w:rPr>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2AC5BCB6" w14:textId="77777777" w:rsidR="00296593" w:rsidRPr="00296593" w:rsidRDefault="00296593" w:rsidP="00C60521">
            <w:pPr>
              <w:spacing w:after="0" w:line="240" w:lineRule="auto"/>
              <w:jc w:val="both"/>
              <w:rPr>
                <w:rFonts w:cstheme="minorHAnsi"/>
              </w:rPr>
            </w:pPr>
            <w:r w:rsidRPr="00296593">
              <w:rPr>
                <w:rFonts w:cstheme="minorHAnsi"/>
              </w:rPr>
              <w:t>Paskolos trukmė nuo 37 mėnesių iki 72 mėnesių (imtinai)</w:t>
            </w:r>
          </w:p>
        </w:tc>
      </w:tr>
      <w:tr w:rsidR="00296593" w:rsidRPr="00296593" w14:paraId="0655D353" w14:textId="77777777" w:rsidTr="007A77B3">
        <w:tc>
          <w:tcPr>
            <w:tcW w:w="2030" w:type="dxa"/>
            <w:tcBorders>
              <w:top w:val="single" w:sz="4" w:space="0" w:color="auto"/>
              <w:left w:val="single" w:sz="4" w:space="0" w:color="auto"/>
              <w:bottom w:val="single" w:sz="4" w:space="0" w:color="auto"/>
              <w:right w:val="single" w:sz="4" w:space="0" w:color="auto"/>
            </w:tcBorders>
          </w:tcPr>
          <w:p w14:paraId="3F354CAA" w14:textId="77777777" w:rsidR="00296593" w:rsidRPr="00296593" w:rsidRDefault="00296593" w:rsidP="00C60521">
            <w:pPr>
              <w:spacing w:after="0" w:line="240" w:lineRule="auto"/>
              <w:jc w:val="both"/>
              <w:rPr>
                <w:rFonts w:cstheme="minorHAnsi"/>
              </w:rPr>
            </w:pPr>
            <w:r w:rsidRPr="00296593">
              <w:rPr>
                <w:rFonts w:cstheme="minorHAnsi"/>
              </w:rPr>
              <w:t>SVV subjektas</w:t>
            </w:r>
          </w:p>
        </w:tc>
        <w:tc>
          <w:tcPr>
            <w:tcW w:w="2030" w:type="dxa"/>
            <w:tcBorders>
              <w:top w:val="single" w:sz="4" w:space="0" w:color="auto"/>
              <w:left w:val="single" w:sz="4" w:space="0" w:color="auto"/>
              <w:bottom w:val="single" w:sz="4" w:space="0" w:color="auto"/>
              <w:right w:val="single" w:sz="4" w:space="0" w:color="auto"/>
            </w:tcBorders>
            <w:hideMark/>
          </w:tcPr>
          <w:p w14:paraId="7ACAE481" w14:textId="77777777" w:rsidR="00296593" w:rsidRPr="00296593" w:rsidRDefault="00296593" w:rsidP="00C60521">
            <w:pPr>
              <w:spacing w:after="0" w:line="240" w:lineRule="auto"/>
              <w:jc w:val="both"/>
              <w:rPr>
                <w:rFonts w:cstheme="minorHAnsi"/>
              </w:rPr>
            </w:pPr>
            <w:r w:rsidRPr="00296593">
              <w:rPr>
                <w:rFonts w:cstheme="minorHAnsi"/>
              </w:rPr>
              <w:t>0,1 procento</w:t>
            </w:r>
          </w:p>
        </w:tc>
        <w:tc>
          <w:tcPr>
            <w:tcW w:w="2126" w:type="dxa"/>
            <w:tcBorders>
              <w:top w:val="single" w:sz="4" w:space="0" w:color="auto"/>
              <w:left w:val="single" w:sz="4" w:space="0" w:color="auto"/>
              <w:bottom w:val="single" w:sz="4" w:space="0" w:color="auto"/>
              <w:right w:val="single" w:sz="4" w:space="0" w:color="auto"/>
            </w:tcBorders>
            <w:hideMark/>
          </w:tcPr>
          <w:p w14:paraId="54AD2565" w14:textId="77777777" w:rsidR="00296593" w:rsidRPr="00296593" w:rsidRDefault="00296593" w:rsidP="00C60521">
            <w:pPr>
              <w:spacing w:after="0" w:line="240" w:lineRule="auto"/>
              <w:jc w:val="both"/>
              <w:rPr>
                <w:rFonts w:cstheme="minorHAnsi"/>
              </w:rPr>
            </w:pPr>
            <w:r w:rsidRPr="00296593">
              <w:rPr>
                <w:rFonts w:cstheme="minorHAnsi"/>
              </w:rPr>
              <w:t>0,19 procento</w:t>
            </w:r>
          </w:p>
        </w:tc>
        <w:tc>
          <w:tcPr>
            <w:tcW w:w="2007" w:type="dxa"/>
            <w:tcBorders>
              <w:top w:val="single" w:sz="4" w:space="0" w:color="auto"/>
              <w:left w:val="single" w:sz="4" w:space="0" w:color="auto"/>
              <w:bottom w:val="single" w:sz="4" w:space="0" w:color="auto"/>
              <w:right w:val="single" w:sz="4" w:space="0" w:color="auto"/>
            </w:tcBorders>
          </w:tcPr>
          <w:p w14:paraId="11806956" w14:textId="77777777" w:rsidR="00296593" w:rsidRPr="00296593" w:rsidRDefault="00296593" w:rsidP="00C60521">
            <w:pPr>
              <w:spacing w:after="0" w:line="240" w:lineRule="auto"/>
              <w:jc w:val="both"/>
              <w:rPr>
                <w:rFonts w:cstheme="minorHAnsi"/>
              </w:rPr>
            </w:pPr>
            <w:r w:rsidRPr="00296593">
              <w:rPr>
                <w:rFonts w:cstheme="minorHAnsi"/>
              </w:rPr>
              <w:t>0,69 procento</w:t>
            </w:r>
          </w:p>
        </w:tc>
      </w:tr>
      <w:tr w:rsidR="00296593" w:rsidRPr="00296593" w14:paraId="157D11C0" w14:textId="77777777" w:rsidTr="007A77B3">
        <w:tc>
          <w:tcPr>
            <w:tcW w:w="2030" w:type="dxa"/>
            <w:tcBorders>
              <w:top w:val="single" w:sz="4" w:space="0" w:color="auto"/>
              <w:left w:val="single" w:sz="4" w:space="0" w:color="auto"/>
              <w:bottom w:val="single" w:sz="4" w:space="0" w:color="auto"/>
              <w:right w:val="single" w:sz="4" w:space="0" w:color="auto"/>
            </w:tcBorders>
          </w:tcPr>
          <w:p w14:paraId="2598CAC8" w14:textId="77777777" w:rsidR="00296593" w:rsidRPr="00296593" w:rsidRDefault="00296593" w:rsidP="00C60521">
            <w:pPr>
              <w:spacing w:after="0" w:line="240" w:lineRule="auto"/>
              <w:jc w:val="both"/>
              <w:rPr>
                <w:rFonts w:cstheme="minorHAnsi"/>
              </w:rPr>
            </w:pPr>
            <w:r w:rsidRPr="00296593">
              <w:rPr>
                <w:rFonts w:cstheme="minorHAnsi"/>
              </w:rPr>
              <w:t>Didelė įmonė</w:t>
            </w:r>
          </w:p>
        </w:tc>
        <w:tc>
          <w:tcPr>
            <w:tcW w:w="2030" w:type="dxa"/>
            <w:tcBorders>
              <w:top w:val="single" w:sz="4" w:space="0" w:color="auto"/>
              <w:left w:val="single" w:sz="4" w:space="0" w:color="auto"/>
              <w:bottom w:val="single" w:sz="4" w:space="0" w:color="auto"/>
              <w:right w:val="single" w:sz="4" w:space="0" w:color="auto"/>
            </w:tcBorders>
          </w:tcPr>
          <w:p w14:paraId="71A813E6" w14:textId="77777777" w:rsidR="00296593" w:rsidRPr="00296593" w:rsidRDefault="00296593" w:rsidP="00C60521">
            <w:pPr>
              <w:spacing w:after="0" w:line="240" w:lineRule="auto"/>
              <w:jc w:val="both"/>
              <w:rPr>
                <w:rFonts w:cstheme="minorHAnsi"/>
              </w:rPr>
            </w:pPr>
            <w:r w:rsidRPr="00296593">
              <w:rPr>
                <w:rFonts w:cstheme="minorHAnsi"/>
              </w:rPr>
              <w:t>0,19 procento</w:t>
            </w:r>
          </w:p>
        </w:tc>
        <w:tc>
          <w:tcPr>
            <w:tcW w:w="2126" w:type="dxa"/>
            <w:tcBorders>
              <w:top w:val="single" w:sz="4" w:space="0" w:color="auto"/>
              <w:left w:val="single" w:sz="4" w:space="0" w:color="auto"/>
              <w:bottom w:val="single" w:sz="4" w:space="0" w:color="auto"/>
              <w:right w:val="single" w:sz="4" w:space="0" w:color="auto"/>
            </w:tcBorders>
          </w:tcPr>
          <w:p w14:paraId="58105610" w14:textId="77777777" w:rsidR="00296593" w:rsidRPr="00296593" w:rsidRDefault="00296593" w:rsidP="00C60521">
            <w:pPr>
              <w:spacing w:after="0" w:line="240" w:lineRule="auto"/>
              <w:jc w:val="both"/>
              <w:rPr>
                <w:rFonts w:cstheme="minorHAnsi"/>
              </w:rPr>
            </w:pPr>
            <w:r w:rsidRPr="00296593">
              <w:rPr>
                <w:rFonts w:cstheme="minorHAnsi"/>
              </w:rPr>
              <w:t>0,69 procento</w:t>
            </w:r>
          </w:p>
        </w:tc>
        <w:tc>
          <w:tcPr>
            <w:tcW w:w="2007" w:type="dxa"/>
            <w:tcBorders>
              <w:top w:val="single" w:sz="4" w:space="0" w:color="auto"/>
              <w:left w:val="single" w:sz="4" w:space="0" w:color="auto"/>
              <w:bottom w:val="single" w:sz="4" w:space="0" w:color="auto"/>
              <w:right w:val="single" w:sz="4" w:space="0" w:color="auto"/>
            </w:tcBorders>
          </w:tcPr>
          <w:p w14:paraId="05C2993B" w14:textId="77777777" w:rsidR="00296593" w:rsidRPr="00296593" w:rsidRDefault="00296593" w:rsidP="00C60521">
            <w:pPr>
              <w:spacing w:after="0" w:line="240" w:lineRule="auto"/>
              <w:jc w:val="both"/>
              <w:rPr>
                <w:rFonts w:cstheme="minorHAnsi"/>
              </w:rPr>
            </w:pPr>
            <w:r w:rsidRPr="00296593">
              <w:rPr>
                <w:rFonts w:cstheme="minorHAnsi"/>
              </w:rPr>
              <w:t>1,69 procento</w:t>
            </w:r>
          </w:p>
        </w:tc>
      </w:tr>
      <w:bookmarkEnd w:id="0"/>
    </w:tbl>
    <w:p w14:paraId="4A3037E8" w14:textId="77777777" w:rsidR="00296593" w:rsidRDefault="00296593" w:rsidP="00C60521">
      <w:pPr>
        <w:jc w:val="both"/>
      </w:pPr>
    </w:p>
    <w:p w14:paraId="7AF2CB77" w14:textId="3C700CC3" w:rsidR="000638F9" w:rsidRPr="00E13BAD" w:rsidRDefault="00765B5C" w:rsidP="00C60521">
      <w:pPr>
        <w:jc w:val="both"/>
        <w:rPr>
          <w:b/>
          <w:bCs/>
        </w:rPr>
      </w:pPr>
      <w:r w:rsidRPr="00E13BAD">
        <w:rPr>
          <w:b/>
          <w:bCs/>
        </w:rPr>
        <w:t xml:space="preserve">Įvertinkite ar: </w:t>
      </w:r>
    </w:p>
    <w:p w14:paraId="6F0781FC" w14:textId="3F35384F" w:rsidR="00765B5C" w:rsidRPr="00E13BAD" w:rsidRDefault="00765B5C" w:rsidP="00C60521">
      <w:pPr>
        <w:pStyle w:val="ListParagraph"/>
        <w:numPr>
          <w:ilvl w:val="0"/>
          <w:numId w:val="2"/>
        </w:numPr>
        <w:jc w:val="both"/>
        <w:rPr>
          <w:i/>
          <w:iCs/>
          <w:color w:val="4472C4" w:themeColor="accent1"/>
        </w:rPr>
      </w:pPr>
      <w:r w:rsidRPr="00E13BAD">
        <w:t xml:space="preserve">kelionių organizatorius turi galiojantį kelionių organizatoriaus pažymėjimą. </w:t>
      </w:r>
      <w:r w:rsidRPr="00E13BAD">
        <w:rPr>
          <w:i/>
          <w:iCs/>
          <w:color w:val="4472C4" w:themeColor="accent1"/>
        </w:rPr>
        <w:t>Šis atitikimas reikalavimui bus vertinamas pagal viešai prieinamą informaciją Valstybinės vartotojų teisių apsaugos tarnybos interneto svetainėje;</w:t>
      </w:r>
    </w:p>
    <w:p w14:paraId="46E20BC7" w14:textId="762B3035" w:rsidR="000638F9" w:rsidRDefault="00765B5C" w:rsidP="00C60521">
      <w:pPr>
        <w:pStyle w:val="ListParagraph"/>
        <w:numPr>
          <w:ilvl w:val="0"/>
          <w:numId w:val="2"/>
        </w:numPr>
        <w:jc w:val="both"/>
      </w:pPr>
      <w:r w:rsidRPr="00765B5C">
        <w:t>kelionių organizatorius veikia Lietuvos Respublikoje</w:t>
      </w:r>
      <w:r>
        <w:t xml:space="preserve"> t. y. </w:t>
      </w:r>
      <w:r w:rsidRPr="00765B5C">
        <w:t>kuria darbo vietas Lietuvos Respublikoje, ir (arba) nuo savo vykdomos veiklos moka mokesčius arba Valstybinio socialinio draudimo fondo valdybos prie Socialinės apsaugos ir darbo ministerijos įmokas į Lietuvos Respublikos biudžetą</w:t>
      </w:r>
      <w:r w:rsidR="009F1609">
        <w:t>;</w:t>
      </w:r>
    </w:p>
    <w:p w14:paraId="3F32E1AD" w14:textId="1688F65C" w:rsidR="00765B5C" w:rsidRPr="00E13BAD" w:rsidRDefault="00765B5C" w:rsidP="00C60521">
      <w:pPr>
        <w:pStyle w:val="ListParagraph"/>
        <w:numPr>
          <w:ilvl w:val="0"/>
          <w:numId w:val="2"/>
        </w:numPr>
        <w:jc w:val="both"/>
      </w:pPr>
      <w:r w:rsidRPr="00E13BAD">
        <w:t xml:space="preserve">Įmonių grupė, kuriai priklauso </w:t>
      </w:r>
      <w:r w:rsidR="00FA6392">
        <w:t>p</w:t>
      </w:r>
      <w:r w:rsidRPr="00E13BAD">
        <w:t xml:space="preserve">askolos gavėjas, ir </w:t>
      </w:r>
      <w:r w:rsidR="00FA6392">
        <w:t>p</w:t>
      </w:r>
      <w:r w:rsidRPr="00E13BAD">
        <w:t xml:space="preserve">askolos gavėjas 2019 m. gruodžio 31 d. nebuvo laikomi sunkumų patiriančiais, kaip tai apibrėžta 2014 m. birželio 17 d. Komisijos reglamente (ES) Nr. 651/2014, kuriuo tam tikrų kategorijų pagalba skelbiama suderinama su vidaus rinka taikant Sutarties 107 ir 108 straipsnius (toliau – Reglamentas Nr. 651/2014) 2 straipsnio 18 punkte arba 2019 m. gruodžio 31 d. Įmonių grupė, kuriai priklauso </w:t>
      </w:r>
      <w:r w:rsidR="00FA6392">
        <w:t>p</w:t>
      </w:r>
      <w:r w:rsidRPr="00E13BAD">
        <w:t xml:space="preserve">askolos gavėjas, ir </w:t>
      </w:r>
      <w:r w:rsidR="00FA6392">
        <w:t>p</w:t>
      </w:r>
      <w:r w:rsidRPr="00E13BAD">
        <w:t xml:space="preserve">askolos gavėjas buvo patiriantys sunkumų, kaip tai apibrėžta Reglamento Nr. 651/2014 2 straipsnio 18 punkte, tačiau paraiškos pateikimo metu nėra laikomi sunkumų patiriančiais. </w:t>
      </w:r>
      <w:r w:rsidRPr="00E13BAD">
        <w:rPr>
          <w:i/>
          <w:iCs/>
          <w:color w:val="4472C4" w:themeColor="accent1"/>
        </w:rPr>
        <w:t>Paskolos gavėjas turi pagrįsti dokumentais, pateikdamas 2020 m. tarpinės finansinės atskaitomybės už paskutinį praėjusį ketvirtį arba mėnesio, ėjusio prieš paraiškos pateikimą, paskutinę dieną dokumentus ir, jei per laikotarpį nuo 2020 m. sausio 1 d. iki paraiškos pateikimo dienos įvyko nuosavybės struktūros (kapitalo, akcijų priedų, perkainojimo rezervų, rezervų) pokyčių, – dokumentus, pagrindžiančius šiuos pokyčius (sukauptų nuostolių padengimo, kapitalo padidinimo apmokėjimo, turto vertinimo ir (arba) kitus susijusius dokumentus). Verslininkas laikomas sunkumų patiriančiu, jei jam yra pradėta fizinio asmens bankroto procedūra</w:t>
      </w:r>
      <w:r w:rsidR="008F6EE1" w:rsidRPr="00E13BAD">
        <w:rPr>
          <w:i/>
          <w:iCs/>
          <w:color w:val="4472C4" w:themeColor="accent1"/>
        </w:rPr>
        <w:t>.</w:t>
      </w:r>
      <w:r w:rsidRPr="00E13BAD">
        <w:rPr>
          <w:color w:val="4472C4" w:themeColor="accent1"/>
        </w:rPr>
        <w:t xml:space="preserve"> </w:t>
      </w:r>
      <w:r w:rsidR="008F6EE1" w:rsidRPr="00E13BAD">
        <w:rPr>
          <w:i/>
          <w:iCs/>
          <w:color w:val="4472C4" w:themeColor="accent1"/>
        </w:rPr>
        <w:t>Įsivertinti</w:t>
      </w:r>
      <w:r w:rsidR="003C5749" w:rsidRPr="00E13BAD">
        <w:rPr>
          <w:i/>
          <w:iCs/>
          <w:color w:val="4472C4" w:themeColor="accent1"/>
        </w:rPr>
        <w:t xml:space="preserve"> ar įmonė yra sunkumų patirianti, jums padės š</w:t>
      </w:r>
      <w:r w:rsidR="008F6EE1" w:rsidRPr="00E13BAD">
        <w:rPr>
          <w:i/>
          <w:iCs/>
          <w:color w:val="4472C4" w:themeColor="accent1"/>
        </w:rPr>
        <w:t>i</w:t>
      </w:r>
      <w:r w:rsidR="003C5749" w:rsidRPr="00E13BAD">
        <w:rPr>
          <w:i/>
          <w:iCs/>
          <w:color w:val="4472C4" w:themeColor="accent1"/>
        </w:rPr>
        <w:t xml:space="preserve"> nuorod</w:t>
      </w:r>
      <w:r w:rsidR="008F6EE1" w:rsidRPr="00E13BAD">
        <w:rPr>
          <w:i/>
          <w:iCs/>
          <w:color w:val="4472C4" w:themeColor="accent1"/>
        </w:rPr>
        <w:t>a</w:t>
      </w:r>
      <w:r w:rsidR="003C5749" w:rsidRPr="00E13BAD">
        <w:rPr>
          <w:i/>
          <w:iCs/>
          <w:color w:val="4472C4" w:themeColor="accent1"/>
        </w:rPr>
        <w:t xml:space="preserve"> </w:t>
      </w:r>
      <w:hyperlink r:id="rId6" w:history="1">
        <w:r w:rsidR="003C5749" w:rsidRPr="00E13BAD">
          <w:rPr>
            <w:rStyle w:val="Hyperlink"/>
            <w:i/>
            <w:iCs/>
            <w:color w:val="4472C4" w:themeColor="accent1"/>
          </w:rPr>
          <w:t>https://invega.lt/lt/covid-19/kas-yra-sunkumu-patirianti-imone/</w:t>
        </w:r>
      </w:hyperlink>
      <w:r w:rsidR="003C5749" w:rsidRPr="00E13BAD">
        <w:rPr>
          <w:i/>
          <w:iCs/>
          <w:color w:val="4472C4" w:themeColor="accent1"/>
        </w:rPr>
        <w:t>, taip pat Jūsų patogumui pateiktos skaičiuoklės sunkumų patyrimui įvertinti:</w:t>
      </w:r>
      <w:r w:rsidR="008B6FCF" w:rsidRPr="00E13BAD">
        <w:rPr>
          <w:i/>
          <w:iCs/>
          <w:color w:val="4472C4" w:themeColor="accent1"/>
        </w:rPr>
        <w:t xml:space="preserve"> </w:t>
      </w:r>
      <w:r w:rsidR="003C5749" w:rsidRPr="00E13BAD">
        <w:rPr>
          <w:i/>
          <w:iCs/>
          <w:color w:val="4472C4" w:themeColor="accent1"/>
        </w:rPr>
        <w:t xml:space="preserve">MVĮ atveju: </w:t>
      </w:r>
      <w:hyperlink r:id="rId7" w:history="1">
        <w:r w:rsidR="003C5749" w:rsidRPr="00E13BAD">
          <w:rPr>
            <w:rStyle w:val="Hyperlink"/>
            <w:i/>
            <w:iCs/>
            <w:color w:val="4472C4" w:themeColor="accent1"/>
          </w:rPr>
          <w:t>https://invega.lt/lt/covid-19/kas-yra-sunkumu-patirianti-imone/sunkumu-vertinimo-skaiciuokle-mvi/</w:t>
        </w:r>
      </w:hyperlink>
      <w:r w:rsidR="008B6FCF" w:rsidRPr="00E13BAD">
        <w:rPr>
          <w:i/>
          <w:iCs/>
          <w:color w:val="4472C4" w:themeColor="accent1"/>
        </w:rPr>
        <w:t xml:space="preserve"> ir d</w:t>
      </w:r>
      <w:r w:rsidR="003C5749" w:rsidRPr="00E13BAD">
        <w:rPr>
          <w:i/>
          <w:iCs/>
          <w:color w:val="4472C4" w:themeColor="accent1"/>
        </w:rPr>
        <w:t xml:space="preserve">idelės įmonės atveju: </w:t>
      </w:r>
      <w:hyperlink r:id="rId8" w:history="1">
        <w:r w:rsidR="008B6FCF" w:rsidRPr="00E13BAD">
          <w:rPr>
            <w:rStyle w:val="Hyperlink"/>
            <w:i/>
            <w:iCs/>
            <w:color w:val="4472C4" w:themeColor="accent1"/>
          </w:rPr>
          <w:t>https://invega.lt/lt/covid-19/kas-yra-sunkumu-patirianti-imone/sunkumu-vertinimo-skaiciuokle-di/</w:t>
        </w:r>
      </w:hyperlink>
      <w:r w:rsidR="008F6EE1" w:rsidRPr="00E13BAD">
        <w:rPr>
          <w:i/>
          <w:iCs/>
        </w:rPr>
        <w:t>;</w:t>
      </w:r>
    </w:p>
    <w:p w14:paraId="7F990308" w14:textId="2715AB62" w:rsidR="003C5749" w:rsidRPr="008B6FCF" w:rsidRDefault="008B6FCF" w:rsidP="00C60521">
      <w:pPr>
        <w:pStyle w:val="ListParagraph"/>
        <w:numPr>
          <w:ilvl w:val="0"/>
          <w:numId w:val="2"/>
        </w:numPr>
        <w:jc w:val="both"/>
      </w:pPr>
      <w:r>
        <w:t xml:space="preserve">Kelionių organizatorius </w:t>
      </w:r>
      <w:r w:rsidRPr="008B6FCF">
        <w:t xml:space="preserve">atitinka minimalius Lietuvos Respublikos mokesčių administravimo įstatymo </w:t>
      </w:r>
      <w:r w:rsidR="004645B3" w:rsidRPr="004645B3">
        <w:rPr>
          <w:rFonts w:ascii="Times New Roman" w:eastAsia="Calibri" w:hAnsi="Times New Roman" w:cs="Times New Roman"/>
          <w:sz w:val="24"/>
          <w:szCs w:val="24"/>
        </w:rPr>
        <w:t>40</w:t>
      </w:r>
      <w:r w:rsidR="004645B3" w:rsidRPr="004645B3">
        <w:rPr>
          <w:rFonts w:ascii="Times New Roman" w:eastAsia="Calibri" w:hAnsi="Times New Roman" w:cs="Times New Roman"/>
          <w:sz w:val="24"/>
          <w:szCs w:val="24"/>
          <w:vertAlign w:val="superscript"/>
        </w:rPr>
        <w:t>1</w:t>
      </w:r>
      <w:r w:rsidRPr="008B6FCF">
        <w:t xml:space="preserve"> straipsnyje nustatytus patikimų mokesčių mokėtojų kriterijus. </w:t>
      </w:r>
      <w:r w:rsidRPr="008B6FCF">
        <w:rPr>
          <w:i/>
          <w:iCs/>
          <w:color w:val="4472C4" w:themeColor="accent1"/>
        </w:rPr>
        <w:t>Atitikimas šiam reikalavimui vertinamas pagal viešai paskelbtą Valstybinės mokesčių inspekcijos informaciją</w:t>
      </w:r>
      <w:r>
        <w:rPr>
          <w:i/>
          <w:iCs/>
          <w:color w:val="4472C4" w:themeColor="accent1"/>
        </w:rPr>
        <w:t>;</w:t>
      </w:r>
    </w:p>
    <w:p w14:paraId="0DAF7FE4" w14:textId="77777777" w:rsidR="008B6FCF" w:rsidRPr="008B6FCF" w:rsidRDefault="008B6FCF" w:rsidP="00C60521">
      <w:pPr>
        <w:pStyle w:val="ListParagraph"/>
        <w:numPr>
          <w:ilvl w:val="0"/>
          <w:numId w:val="2"/>
        </w:numPr>
        <w:jc w:val="both"/>
      </w:pPr>
      <w:r w:rsidRPr="008B6FCF">
        <w:lastRenderedPageBreak/>
        <w:t xml:space="preserve">juridinio asmens atveju, jam nėra iškelta nemokumo byla ir (ar) jis nėra restruktūrizuojamas pagal Lietuvos Respublikos juridinių asmenų nemokumo įstatymą arba iki jo įsigaliojimo galiojusius Lietuvos Respublikos įmonių bankroto įstatymą ir Lietuvos Respublikos restruktūrizavimo įstatymą arba, fizinio asmens atveju, jam nėra iškelta fizinio asmens bankroto byla pagal Lietuvos Respublikos fizinių asmenų bankroto įstatymą. </w:t>
      </w:r>
      <w:r w:rsidRPr="008B6FCF">
        <w:rPr>
          <w:i/>
          <w:iCs/>
          <w:color w:val="4472C4" w:themeColor="accent1"/>
        </w:rPr>
        <w:t>Atitikimas reikalavimui vertinamas pagal viešai prieinamus valstybinių registrų duomenis</w:t>
      </w:r>
      <w:r w:rsidRPr="008B6FCF">
        <w:t>;</w:t>
      </w:r>
    </w:p>
    <w:p w14:paraId="355E4BFF" w14:textId="4007A465" w:rsidR="008B6FCF" w:rsidRDefault="008B6FCF" w:rsidP="00C60521">
      <w:pPr>
        <w:pStyle w:val="ListParagraph"/>
        <w:numPr>
          <w:ilvl w:val="0"/>
          <w:numId w:val="2"/>
        </w:numPr>
        <w:jc w:val="both"/>
      </w:pPr>
      <w:r w:rsidRPr="008B6FCF">
        <w:t xml:space="preserve">paraiškos dėl </w:t>
      </w:r>
      <w:r w:rsidR="00E40770">
        <w:t>p</w:t>
      </w:r>
      <w:r w:rsidRPr="008B6FCF">
        <w:t xml:space="preserve">askolos gavimo pateikimo metu </w:t>
      </w:r>
      <w:r w:rsidR="00E40770">
        <w:t>į</w:t>
      </w:r>
      <w:r w:rsidRPr="008B6FCF">
        <w:t xml:space="preserve">monių grupė, įskaitant </w:t>
      </w:r>
      <w:r w:rsidR="00E40770">
        <w:t>p</w:t>
      </w:r>
      <w:r w:rsidRPr="008B6FCF">
        <w:t>askolos gavėją, yra pateikusi VĮ „Registrų centras“ 2019 m. finansinių ataskaitų rinkinį, kuriame būtų detaliai atskleista nuosavo kapitalo sudėtis</w:t>
      </w:r>
      <w:r w:rsidR="00CC178C">
        <w:t xml:space="preserve">. </w:t>
      </w:r>
      <w:r w:rsidR="00CC178C" w:rsidRPr="00CC178C">
        <w:t xml:space="preserve">Šis reikalavimas netaikomas verslininkams ir toms </w:t>
      </w:r>
      <w:r w:rsidR="00E40770">
        <w:t>į</w:t>
      </w:r>
      <w:r w:rsidR="00CC178C" w:rsidRPr="00CC178C">
        <w:t>monių grupės įmonėms, kurios yra įsteigtos nuo 2020 m. sausio 1 d.</w:t>
      </w:r>
      <w:r>
        <w:t>;</w:t>
      </w:r>
    </w:p>
    <w:p w14:paraId="46AFD9B3" w14:textId="57788036" w:rsidR="008B6FCF" w:rsidRDefault="008B6FCF" w:rsidP="00C60521">
      <w:pPr>
        <w:pStyle w:val="ListParagraph"/>
        <w:numPr>
          <w:ilvl w:val="0"/>
          <w:numId w:val="2"/>
        </w:numPr>
        <w:jc w:val="both"/>
      </w:pPr>
      <w:r>
        <w:t xml:space="preserve">kelionių organizatorius </w:t>
      </w:r>
      <w:r w:rsidRPr="008B6FCF">
        <w:t>nėra gavęs neteisėtos pagalbos, kuri Europos Komisijos sprendimu (dėl individualios pagalbos arba pagalbos schemos) buvo pripažinta neteisėta ir nesuderinama su vidaus rinka, arba yra grąžinęs visą jos sumą, įskaitant palūkanas, teisės aktuose nustatyta tvarka</w:t>
      </w:r>
      <w:r w:rsidR="00CC178C">
        <w:t>.</w:t>
      </w:r>
    </w:p>
    <w:p w14:paraId="74E46E12" w14:textId="147A882F" w:rsidR="008B6FCF" w:rsidRPr="00CC178C" w:rsidRDefault="002803A2" w:rsidP="00C60521">
      <w:pPr>
        <w:ind w:left="360"/>
        <w:jc w:val="both"/>
        <w:rPr>
          <w:b/>
          <w:bCs/>
        </w:rPr>
      </w:pPr>
      <w:r w:rsidRPr="00CC178C">
        <w:rPr>
          <w:b/>
          <w:bCs/>
        </w:rPr>
        <w:t>Taip pat p</w:t>
      </w:r>
      <w:r w:rsidR="008B6FCF" w:rsidRPr="00CC178C">
        <w:rPr>
          <w:b/>
          <w:bCs/>
        </w:rPr>
        <w:t>ar</w:t>
      </w:r>
      <w:r w:rsidRPr="00CC178C">
        <w:rPr>
          <w:b/>
          <w:bCs/>
        </w:rPr>
        <w:t>uoškite</w:t>
      </w:r>
      <w:r w:rsidR="008B6FCF" w:rsidRPr="00CC178C">
        <w:rPr>
          <w:b/>
          <w:bCs/>
        </w:rPr>
        <w:t>:</w:t>
      </w:r>
    </w:p>
    <w:p w14:paraId="109BA7E9" w14:textId="055C9257" w:rsidR="008B6FCF" w:rsidRPr="00E40770" w:rsidRDefault="002803A2" w:rsidP="00C60521">
      <w:pPr>
        <w:pStyle w:val="ListParagraph"/>
        <w:numPr>
          <w:ilvl w:val="0"/>
          <w:numId w:val="14"/>
        </w:numPr>
        <w:jc w:val="both"/>
        <w:rPr>
          <w:i/>
          <w:iCs/>
          <w:color w:val="4472C4" w:themeColor="accent1"/>
        </w:rPr>
      </w:pPr>
      <w:r w:rsidRPr="00E13BAD">
        <w:t xml:space="preserve">Jei kelionių organizatorius yra SVV subjektas – kartu su paraiška reikės pateikti SVV subjekto statuso deklaraciją. </w:t>
      </w:r>
      <w:r w:rsidRPr="00E40770">
        <w:rPr>
          <w:i/>
          <w:iCs/>
          <w:color w:val="4472C4" w:themeColor="accent1"/>
        </w:rPr>
        <w:t xml:space="preserve">Paaiškinimus kaip pildyti SVV subjekto deklaraciją rasite čia </w:t>
      </w:r>
      <w:hyperlink r:id="rId9" w:history="1">
        <w:r w:rsidRPr="00E40770">
          <w:rPr>
            <w:rStyle w:val="Hyperlink"/>
            <w:i/>
            <w:iCs/>
            <w:color w:val="4472C4" w:themeColor="accent1"/>
          </w:rPr>
          <w:t>https://invega.lt/lt/covid-19/kaip-deklaruoti-svv-subjekto-statusa/</w:t>
        </w:r>
      </w:hyperlink>
      <w:r w:rsidR="00E13BAD" w:rsidRPr="00E40770">
        <w:rPr>
          <w:i/>
          <w:iCs/>
          <w:color w:val="4472C4" w:themeColor="accent1"/>
        </w:rPr>
        <w:t>, j</w:t>
      </w:r>
      <w:r w:rsidRPr="00E40770">
        <w:rPr>
          <w:i/>
          <w:iCs/>
          <w:color w:val="4472C4" w:themeColor="accent1"/>
        </w:rPr>
        <w:t>ei kelionių organizatorius didelė įmonė – SVV subjekto deklaracijos pildyti nereikės, užteks patvirtinimo, kad Paskolos gavėjas yra didelė įmonė</w:t>
      </w:r>
      <w:r w:rsidR="00E13BAD" w:rsidRPr="00E40770">
        <w:rPr>
          <w:i/>
          <w:iCs/>
          <w:color w:val="4472C4" w:themeColor="accent1"/>
        </w:rPr>
        <w:t>;</w:t>
      </w:r>
    </w:p>
    <w:p w14:paraId="62C8027C" w14:textId="2017D863" w:rsidR="00AC38AB" w:rsidRPr="00622B6B" w:rsidRDefault="00296593" w:rsidP="00C60521">
      <w:pPr>
        <w:pStyle w:val="ListParagraph"/>
        <w:numPr>
          <w:ilvl w:val="0"/>
          <w:numId w:val="14"/>
        </w:numPr>
        <w:jc w:val="both"/>
      </w:pPr>
      <w:r w:rsidRPr="00296593">
        <w:t xml:space="preserve">Kartu su paraiška dėl </w:t>
      </w:r>
      <w:r w:rsidR="00CC178C">
        <w:t>p</w:t>
      </w:r>
      <w:r w:rsidRPr="00296593">
        <w:t xml:space="preserve">askolos suteikimo turi būti pateikiama informacija apie neįvykdytas turistines keliones, už kurias </w:t>
      </w:r>
      <w:r w:rsidR="00CC178C">
        <w:t>p</w:t>
      </w:r>
      <w:r w:rsidRPr="00296593">
        <w:t xml:space="preserve">askolos gavėjas turi grąžinti lėšas </w:t>
      </w:r>
      <w:r w:rsidR="00CC178C">
        <w:t>t</w:t>
      </w:r>
      <w:r w:rsidRPr="00296593">
        <w:t xml:space="preserve">uristams, nes turistai atsisakė kuponų už neįvykusias turistines keliones </w:t>
      </w:r>
      <w:r w:rsidR="004645B3">
        <w:t xml:space="preserve">LR </w:t>
      </w:r>
      <w:r w:rsidRPr="00296593">
        <w:t>Turizmo įstatymo nustatytomis sąlygomis</w:t>
      </w:r>
      <w:r w:rsidR="00CC178C">
        <w:t xml:space="preserve">. </w:t>
      </w:r>
      <w:r w:rsidR="00CC178C" w:rsidRPr="00E40770">
        <w:rPr>
          <w:i/>
          <w:iCs/>
          <w:color w:val="4472C4" w:themeColor="accent1"/>
        </w:rPr>
        <w:t xml:space="preserve">Reikia pateikti: </w:t>
      </w:r>
      <w:r w:rsidRPr="00E40770">
        <w:rPr>
          <w:i/>
          <w:iCs/>
          <w:color w:val="4472C4" w:themeColor="accent1"/>
        </w:rPr>
        <w:t>organizuotų turistinių kelionių sutarčių numeri</w:t>
      </w:r>
      <w:r w:rsidR="00CC178C" w:rsidRPr="00E40770">
        <w:rPr>
          <w:i/>
          <w:iCs/>
          <w:color w:val="4472C4" w:themeColor="accent1"/>
        </w:rPr>
        <w:t>us</w:t>
      </w:r>
      <w:r w:rsidRPr="00E40770">
        <w:rPr>
          <w:i/>
          <w:iCs/>
          <w:color w:val="4472C4" w:themeColor="accent1"/>
        </w:rPr>
        <w:t>, jų sudarymo dat</w:t>
      </w:r>
      <w:r w:rsidR="00CC178C" w:rsidRPr="00E40770">
        <w:rPr>
          <w:i/>
          <w:iCs/>
          <w:color w:val="4472C4" w:themeColor="accent1"/>
        </w:rPr>
        <w:t>ą</w:t>
      </w:r>
      <w:r w:rsidRPr="00E40770">
        <w:rPr>
          <w:i/>
          <w:iCs/>
          <w:color w:val="4472C4" w:themeColor="accent1"/>
        </w:rPr>
        <w:t>, kelionių organizatoriaus grąžintin</w:t>
      </w:r>
      <w:r w:rsidR="00CC178C" w:rsidRPr="00E40770">
        <w:rPr>
          <w:i/>
          <w:iCs/>
          <w:color w:val="4472C4" w:themeColor="accent1"/>
        </w:rPr>
        <w:t>ą</w:t>
      </w:r>
      <w:r w:rsidRPr="00E40770">
        <w:rPr>
          <w:i/>
          <w:iCs/>
          <w:color w:val="4472C4" w:themeColor="accent1"/>
        </w:rPr>
        <w:t xml:space="preserve"> sum</w:t>
      </w:r>
      <w:r w:rsidR="00CC178C" w:rsidRPr="00E40770">
        <w:rPr>
          <w:i/>
          <w:iCs/>
          <w:color w:val="4472C4" w:themeColor="accent1"/>
        </w:rPr>
        <w:t>ą</w:t>
      </w:r>
      <w:r w:rsidRPr="00E40770">
        <w:rPr>
          <w:i/>
          <w:iCs/>
          <w:color w:val="4472C4" w:themeColor="accent1"/>
        </w:rPr>
        <w:t>, kiekvienos neįvykusios kelionės dat</w:t>
      </w:r>
      <w:r w:rsidR="00CC178C" w:rsidRPr="00E40770">
        <w:rPr>
          <w:i/>
          <w:iCs/>
          <w:color w:val="4472C4" w:themeColor="accent1"/>
        </w:rPr>
        <w:t>ą</w:t>
      </w:r>
      <w:r w:rsidRPr="00E40770">
        <w:rPr>
          <w:i/>
          <w:iCs/>
          <w:color w:val="4472C4" w:themeColor="accent1"/>
        </w:rPr>
        <w:t xml:space="preserve"> (buvusios pradinėse organizuotų turistinių kelionių sutartyse) ir kelionės krypt</w:t>
      </w:r>
      <w:r w:rsidR="00CC178C" w:rsidRPr="00E40770">
        <w:rPr>
          <w:i/>
          <w:iCs/>
          <w:color w:val="4472C4" w:themeColor="accent1"/>
        </w:rPr>
        <w:t>is</w:t>
      </w:r>
      <w:r w:rsidRPr="00E40770">
        <w:rPr>
          <w:i/>
          <w:iCs/>
          <w:color w:val="4472C4" w:themeColor="accent1"/>
        </w:rPr>
        <w:t xml:space="preserve"> (nurodoma šalis ir miestas)</w:t>
      </w:r>
      <w:r w:rsidR="00CC178C" w:rsidRPr="00E40770">
        <w:rPr>
          <w:i/>
          <w:iCs/>
          <w:color w:val="4472C4" w:themeColor="accent1"/>
        </w:rPr>
        <w:t>.</w:t>
      </w:r>
    </w:p>
    <w:p w14:paraId="121129C2" w14:textId="30031DCF" w:rsidR="00622B6B" w:rsidRDefault="00622B6B" w:rsidP="00622B6B">
      <w:pPr>
        <w:pStyle w:val="ListParagraph"/>
        <w:numPr>
          <w:ilvl w:val="0"/>
          <w:numId w:val="14"/>
        </w:numPr>
        <w:jc w:val="both"/>
      </w:pPr>
      <w:r>
        <w:t xml:space="preserve">Taip pat reikia pateikti verslo planą, kuriame, be kita ko, būtų trumpai aprašytas vykdomas verslas, esama ir prognozuojama finansinė būklė (turimi ir būsimi finansiniai ištekliai ir </w:t>
      </w:r>
      <w:r w:rsidR="001078FD">
        <w:t xml:space="preserve">siūlymas dėl </w:t>
      </w:r>
      <w:r>
        <w:t>užtikrinimo priemonių (jei taikoma), esama ir prognozuojama finansinė būklė.</w:t>
      </w:r>
    </w:p>
    <w:p w14:paraId="4ABB5268" w14:textId="3D96C720" w:rsidR="00622B6B" w:rsidRPr="001078FD" w:rsidRDefault="00622B6B" w:rsidP="00622B6B">
      <w:pPr>
        <w:pStyle w:val="ListParagraph"/>
        <w:numPr>
          <w:ilvl w:val="0"/>
          <w:numId w:val="14"/>
        </w:numPr>
        <w:jc w:val="both"/>
        <w:rPr>
          <w:i/>
          <w:iCs/>
          <w:color w:val="4472C4" w:themeColor="accent1"/>
        </w:rPr>
      </w:pPr>
      <w:r>
        <w:t>Kartu su paraiška turi būti pateikti pinigų srautų istoriniai ir prognozuojami duomenys (</w:t>
      </w:r>
      <w:r w:rsidRPr="001078FD">
        <w:rPr>
          <w:i/>
          <w:iCs/>
          <w:color w:val="4472C4" w:themeColor="accent1"/>
        </w:rPr>
        <w:t>excel forma</w:t>
      </w:r>
      <w:r w:rsidR="002B5A58" w:rsidRPr="001078FD">
        <w:rPr>
          <w:i/>
          <w:iCs/>
          <w:color w:val="4472C4" w:themeColor="accent1"/>
        </w:rPr>
        <w:t>, pridedama prie laiško)</w:t>
      </w:r>
      <w:r w:rsidR="00AB551B">
        <w:rPr>
          <w:i/>
          <w:iCs/>
          <w:color w:val="4472C4" w:themeColor="accent1"/>
        </w:rPr>
        <w:t>.</w:t>
      </w:r>
    </w:p>
    <w:p w14:paraId="541C029B" w14:textId="44A98A65" w:rsidR="00196B61" w:rsidRDefault="00196B61" w:rsidP="00196B61">
      <w:pPr>
        <w:rPr>
          <w:b/>
          <w:bCs/>
          <w:u w:val="single"/>
        </w:rPr>
      </w:pPr>
      <w:r w:rsidRPr="00196B61">
        <w:rPr>
          <w:b/>
          <w:bCs/>
          <w:u w:val="single"/>
        </w:rPr>
        <w:t>Pagrindinės paskolų sąlygos apgyvendinimo paslaugų teikėjams, teikiantiems klasifikuojamąsias apgyvendinimo paslaugas, ir</w:t>
      </w:r>
      <w:r w:rsidR="00BF4B9E">
        <w:rPr>
          <w:b/>
          <w:bCs/>
          <w:u w:val="single"/>
        </w:rPr>
        <w:t xml:space="preserve"> verslo subjektams, teikiantiems </w:t>
      </w:r>
      <w:r w:rsidRPr="00196B61">
        <w:rPr>
          <w:b/>
          <w:bCs/>
          <w:u w:val="single"/>
        </w:rPr>
        <w:t>viešojo maitinimo paslaugas</w:t>
      </w:r>
      <w:r>
        <w:rPr>
          <w:b/>
          <w:bCs/>
          <w:u w:val="single"/>
        </w:rPr>
        <w:t>:</w:t>
      </w:r>
      <w:r w:rsidRPr="00196B61">
        <w:rPr>
          <w:b/>
          <w:bCs/>
          <w:u w:val="single"/>
        </w:rPr>
        <w:t xml:space="preserve"> </w:t>
      </w:r>
    </w:p>
    <w:p w14:paraId="0C978C43" w14:textId="62F0B1C5" w:rsidR="00196B61" w:rsidRDefault="00196B61" w:rsidP="00C60521">
      <w:pPr>
        <w:pStyle w:val="ListParagraph"/>
        <w:numPr>
          <w:ilvl w:val="0"/>
          <w:numId w:val="20"/>
        </w:numPr>
        <w:jc w:val="both"/>
      </w:pPr>
      <w:r w:rsidRPr="008878B3">
        <w:t>Paskolos, teikiamos apgyvendinimo paslaugų teikėjui, teikiančiam klasifikuojamąsias apgyvendinimo paslaugas, kuris yra SVV subjektas arba didelė įmonė,</w:t>
      </w:r>
      <w:r w:rsidR="009F1609" w:rsidRPr="008878B3">
        <w:t xml:space="preserve"> o</w:t>
      </w:r>
      <w:r w:rsidRPr="008878B3">
        <w:t xml:space="preserve"> paskol</w:t>
      </w:r>
      <w:r w:rsidR="009F1609" w:rsidRPr="008878B3">
        <w:t>ų</w:t>
      </w:r>
      <w:r w:rsidRPr="008878B3">
        <w:t xml:space="preserve"> teikiam</w:t>
      </w:r>
      <w:r w:rsidR="009F1609" w:rsidRPr="008878B3">
        <w:t>ų</w:t>
      </w:r>
      <w:r w:rsidRPr="008878B3">
        <w:t xml:space="preserve"> viešojo maitinimo paslaugas teikiančių įmonių atveju – didelė įmonė ir kurios pagrindinė veikla pagal Lietuvos statistikos departamento skelbiamą ekonominės veiklos rūšių klasifikatorių yra Restoranų ir pagaminto valgio teikimo veikla (561000)</w:t>
      </w:r>
      <w:r w:rsidR="009F1609" w:rsidRPr="008878B3">
        <w:t>;</w:t>
      </w:r>
    </w:p>
    <w:p w14:paraId="46E0D10C" w14:textId="1245707F" w:rsidR="00E13BAD" w:rsidRPr="008878B3" w:rsidRDefault="004645B3" w:rsidP="00C60521">
      <w:pPr>
        <w:pStyle w:val="ListParagraph"/>
        <w:numPr>
          <w:ilvl w:val="0"/>
          <w:numId w:val="20"/>
        </w:numPr>
        <w:jc w:val="both"/>
      </w:pPr>
      <w:r>
        <w:t>p</w:t>
      </w:r>
      <w:r w:rsidR="00E13BAD">
        <w:t xml:space="preserve">askolos paskirtis - </w:t>
      </w:r>
      <w:r w:rsidR="00E13BAD" w:rsidRPr="00E13BAD">
        <w:t xml:space="preserve">būtiniausioms </w:t>
      </w:r>
      <w:r w:rsidR="00E13BAD">
        <w:t>p</w:t>
      </w:r>
      <w:r w:rsidR="00E13BAD" w:rsidRPr="00E13BAD">
        <w:t>askolos gavėjo apyvartinėms lėšoms</w:t>
      </w:r>
      <w:r w:rsidR="00E13BAD">
        <w:t xml:space="preserve"> finansuoti;</w:t>
      </w:r>
    </w:p>
    <w:p w14:paraId="7F0F8623" w14:textId="10A7B355" w:rsidR="00196B61" w:rsidRPr="000378DE" w:rsidRDefault="00196B61" w:rsidP="00C60521">
      <w:pPr>
        <w:pStyle w:val="ListParagraph"/>
        <w:numPr>
          <w:ilvl w:val="0"/>
          <w:numId w:val="20"/>
        </w:numPr>
        <w:jc w:val="both"/>
      </w:pPr>
      <w:r w:rsidRPr="000378DE">
        <w:t xml:space="preserve">paskolos sutartis gali būti pasirašyta ne vėliau kaip 2020 m. gruodžio 31 d.; </w:t>
      </w:r>
    </w:p>
    <w:p w14:paraId="1199EE92" w14:textId="77777777" w:rsidR="00196B61" w:rsidRPr="00196B61" w:rsidRDefault="00196B61" w:rsidP="00C60521">
      <w:pPr>
        <w:pStyle w:val="ListParagraph"/>
        <w:numPr>
          <w:ilvl w:val="0"/>
          <w:numId w:val="20"/>
        </w:numPr>
        <w:jc w:val="both"/>
      </w:pPr>
      <w:r w:rsidRPr="00196B61">
        <w:t>vienas paskolos gavėjas gali gauti vieną paskolą;</w:t>
      </w:r>
    </w:p>
    <w:p w14:paraId="59620245" w14:textId="5FAAAFD0" w:rsidR="00196B61" w:rsidRPr="00196B61" w:rsidRDefault="00196B61" w:rsidP="00C60521">
      <w:pPr>
        <w:pStyle w:val="ListParagraph"/>
        <w:numPr>
          <w:ilvl w:val="0"/>
          <w:numId w:val="20"/>
        </w:numPr>
        <w:jc w:val="both"/>
      </w:pPr>
      <w:r w:rsidRPr="00196B61">
        <w:t xml:space="preserve">paskolos lėšos išmokamos paskolos gavėjui </w:t>
      </w:r>
      <w:r w:rsidR="00760F84" w:rsidRPr="000378DE">
        <w:rPr>
          <w:lang w:eastAsia="lt-LT"/>
        </w:rPr>
        <w:t xml:space="preserve">dalimis kiekvieną ketvirtį (kas 90 kalendorinių dienų) pagal suderintą su </w:t>
      </w:r>
      <w:r w:rsidR="000378DE" w:rsidRPr="000378DE">
        <w:rPr>
          <w:lang w:eastAsia="lt-LT"/>
        </w:rPr>
        <w:t>p</w:t>
      </w:r>
      <w:r w:rsidR="00760F84" w:rsidRPr="000378DE">
        <w:rPr>
          <w:lang w:eastAsia="lt-LT"/>
        </w:rPr>
        <w:t>askolos gavėju grafiką</w:t>
      </w:r>
      <w:r w:rsidR="00760F84" w:rsidRPr="000378DE">
        <w:t xml:space="preserve"> ir </w:t>
      </w:r>
      <w:r w:rsidRPr="00196B61">
        <w:t xml:space="preserve">ne vėliau kaip </w:t>
      </w:r>
      <w:r w:rsidR="002708FE" w:rsidRPr="000378DE">
        <w:t xml:space="preserve">2021 m. </w:t>
      </w:r>
      <w:r w:rsidR="00030A0D">
        <w:t>kovo</w:t>
      </w:r>
      <w:r w:rsidR="002708FE" w:rsidRPr="000378DE">
        <w:t xml:space="preserve"> 3</w:t>
      </w:r>
      <w:r w:rsidR="00030A0D">
        <w:t>1</w:t>
      </w:r>
      <w:r w:rsidR="002708FE" w:rsidRPr="000378DE">
        <w:t xml:space="preserve"> d.</w:t>
      </w:r>
      <w:r w:rsidRPr="00196B61">
        <w:t>;</w:t>
      </w:r>
    </w:p>
    <w:p w14:paraId="045F5616" w14:textId="77777777" w:rsidR="00760F84" w:rsidRPr="000378DE" w:rsidRDefault="00760F84" w:rsidP="00C60521">
      <w:pPr>
        <w:pStyle w:val="ListParagraph"/>
        <w:numPr>
          <w:ilvl w:val="0"/>
          <w:numId w:val="20"/>
        </w:numPr>
        <w:jc w:val="both"/>
      </w:pPr>
      <w:r w:rsidRPr="000378DE">
        <w:t>paskolos lėšomis negali būti apmokamos šios išlaidos:</w:t>
      </w:r>
    </w:p>
    <w:p w14:paraId="714D62BC" w14:textId="109803EB" w:rsidR="00760F84" w:rsidRPr="000378DE" w:rsidRDefault="000378DE" w:rsidP="006B003D">
      <w:pPr>
        <w:pStyle w:val="ListParagraph"/>
        <w:numPr>
          <w:ilvl w:val="0"/>
          <w:numId w:val="8"/>
        </w:numPr>
        <w:jc w:val="both"/>
      </w:pPr>
      <w:r w:rsidRPr="000378DE">
        <w:t>f</w:t>
      </w:r>
      <w:r w:rsidR="00760F84" w:rsidRPr="000378DE">
        <w:t xml:space="preserve">inansavimas negali būti skirtas išsimokėti dividendus, mažinti kapitalą išmokant lėšas dalyviams, supirkti savas akcijas ar atlikti kitokius mokėjimus iš kapitalo Paskolos </w:t>
      </w:r>
      <w:r w:rsidR="00760F84" w:rsidRPr="000378DE">
        <w:lastRenderedPageBreak/>
        <w:t xml:space="preserve">gavėjo dalyviams, taip pat negali būti skirtas grąžinti arba suteikti paskolas </w:t>
      </w:r>
      <w:r w:rsidRPr="000378DE">
        <w:t>p</w:t>
      </w:r>
      <w:r w:rsidR="00760F84" w:rsidRPr="000378DE">
        <w:t>askolos gavėjo dalyviams;</w:t>
      </w:r>
    </w:p>
    <w:p w14:paraId="40D1B677" w14:textId="17D9E862" w:rsidR="00760F84" w:rsidRPr="000378DE" w:rsidRDefault="00760F84" w:rsidP="006B003D">
      <w:pPr>
        <w:pStyle w:val="ListParagraph"/>
        <w:numPr>
          <w:ilvl w:val="0"/>
          <w:numId w:val="8"/>
        </w:numPr>
        <w:jc w:val="both"/>
      </w:pPr>
      <w:r w:rsidRPr="000378DE">
        <w:t xml:space="preserve">finansavimas negali būti panaudotas perfinansavimui, t. y. </w:t>
      </w:r>
      <w:r w:rsidR="000378DE" w:rsidRPr="000378DE">
        <w:t>p</w:t>
      </w:r>
      <w:r w:rsidRPr="000378DE">
        <w:t>askolos gavėjo turimų įsipareigojimų finansų įstaigoms išankstiniam grąžinimui ar refinansavimui, taip pat įsipareigojimams kitiems asmenims pagal paskolos arba kreditavimo sutartis grąžinti anksčiau nei pagal nustatytą grafiką;</w:t>
      </w:r>
    </w:p>
    <w:p w14:paraId="4C90E5B6" w14:textId="4851C9EC" w:rsidR="00760F84" w:rsidRPr="000378DE" w:rsidRDefault="00760F84" w:rsidP="006B003D">
      <w:pPr>
        <w:pStyle w:val="ListParagraph"/>
        <w:numPr>
          <w:ilvl w:val="0"/>
          <w:numId w:val="8"/>
        </w:numPr>
        <w:jc w:val="both"/>
      </w:pPr>
      <w:r w:rsidRPr="000378DE">
        <w:t>finansavimas negali būti skirtas investicijoms (įskaitant ir rekonstrukciją)</w:t>
      </w:r>
    </w:p>
    <w:p w14:paraId="609248E5" w14:textId="77777777" w:rsidR="00760F84" w:rsidRDefault="00760F84" w:rsidP="006B003D">
      <w:pPr>
        <w:pStyle w:val="ListParagraph"/>
        <w:jc w:val="both"/>
      </w:pPr>
    </w:p>
    <w:p w14:paraId="6FCCC28A" w14:textId="3B63BE47" w:rsidR="00196B61" w:rsidRPr="00196B61" w:rsidRDefault="00196B61" w:rsidP="00C60521">
      <w:pPr>
        <w:pStyle w:val="ListParagraph"/>
        <w:numPr>
          <w:ilvl w:val="0"/>
          <w:numId w:val="20"/>
        </w:numPr>
        <w:jc w:val="both"/>
      </w:pPr>
      <w:r w:rsidRPr="00196B61">
        <w:t xml:space="preserve">paskola turi būti pradėta grąžinta </w:t>
      </w:r>
      <w:r w:rsidR="004C597A" w:rsidRPr="000378DE">
        <w:t xml:space="preserve">ne vėliau kaip </w:t>
      </w:r>
      <w:r w:rsidRPr="00196B61">
        <w:t>praėjus 12 mėnesi</w:t>
      </w:r>
      <w:r w:rsidR="004C597A" w:rsidRPr="000378DE">
        <w:t>ų</w:t>
      </w:r>
      <w:r w:rsidRPr="00196B61">
        <w:t xml:space="preserve"> po </w:t>
      </w:r>
      <w:r w:rsidR="000378DE" w:rsidRPr="000378DE">
        <w:t>p</w:t>
      </w:r>
      <w:r w:rsidRPr="00196B61">
        <w:t>askolos sutarties sudarymo dienos;</w:t>
      </w:r>
    </w:p>
    <w:p w14:paraId="1D5019E0" w14:textId="77777777" w:rsidR="00196B61" w:rsidRPr="00196B61" w:rsidRDefault="00196B61" w:rsidP="00C60521">
      <w:pPr>
        <w:pStyle w:val="ListParagraph"/>
        <w:numPr>
          <w:ilvl w:val="0"/>
          <w:numId w:val="20"/>
        </w:numPr>
        <w:jc w:val="both"/>
      </w:pPr>
      <w:r w:rsidRPr="00196B61">
        <w:t>maksimali galima paskolos trukmė - 72 mėnesiai;</w:t>
      </w:r>
    </w:p>
    <w:p w14:paraId="24FD7607" w14:textId="77777777" w:rsidR="00196B61" w:rsidRPr="00196B61" w:rsidRDefault="00196B61" w:rsidP="00C60521">
      <w:pPr>
        <w:pStyle w:val="ListParagraph"/>
        <w:numPr>
          <w:ilvl w:val="0"/>
          <w:numId w:val="20"/>
        </w:numPr>
        <w:jc w:val="both"/>
      </w:pPr>
      <w:r w:rsidRPr="00196B61">
        <w:t>paskolos iki 1 mln. Eur sumos suteikiamos be paskolos užtikrinimo priemonių. Paskolos užtikrinimo priemonės taikomos tai paskolos daliai, kuri viršija 1 mln. Eur sumą;</w:t>
      </w:r>
    </w:p>
    <w:p w14:paraId="2AA5A13E" w14:textId="77777777" w:rsidR="00196B61" w:rsidRPr="00196B61" w:rsidRDefault="00196B61" w:rsidP="00C60521">
      <w:pPr>
        <w:pStyle w:val="ListParagraph"/>
        <w:numPr>
          <w:ilvl w:val="0"/>
          <w:numId w:val="20"/>
        </w:numPr>
        <w:jc w:val="both"/>
      </w:pPr>
      <w:r w:rsidRPr="00196B61">
        <w:t>didžiausia paskolos suma negali viršyti:</w:t>
      </w:r>
    </w:p>
    <w:p w14:paraId="2F2791EE" w14:textId="77777777" w:rsidR="00196B61" w:rsidRPr="006B003D" w:rsidRDefault="00196B61" w:rsidP="006B003D">
      <w:pPr>
        <w:pStyle w:val="ListParagraph"/>
        <w:numPr>
          <w:ilvl w:val="0"/>
          <w:numId w:val="11"/>
        </w:numPr>
        <w:jc w:val="both"/>
      </w:pPr>
      <w:r w:rsidRPr="006B003D">
        <w:t>25 procentų paskolos gavėjo 2019 m. apyvartos, arba</w:t>
      </w:r>
    </w:p>
    <w:p w14:paraId="1C16191A" w14:textId="77777777" w:rsidR="00196B61" w:rsidRPr="006B003D" w:rsidRDefault="00196B61" w:rsidP="006B003D">
      <w:pPr>
        <w:pStyle w:val="ListParagraph"/>
        <w:numPr>
          <w:ilvl w:val="0"/>
          <w:numId w:val="11"/>
        </w:numPr>
        <w:jc w:val="both"/>
      </w:pPr>
      <w:r w:rsidRPr="006B003D">
        <w:t>dvigubos paskolos gavėjo darbuotojams priskaičiuotos darbo užmokesčio su mokesčiais, įskaitant privalomojo socialinio draudimo ir sveikatos draudimo įmokas,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dvejus jo veiklos metus, apskaičiuotos remiantis iki 2020 m. kovo 16 d. buvusiais darbo užmokesčio duomenimis (</w:t>
      </w:r>
      <w:r w:rsidRPr="00E13BAD">
        <w:rPr>
          <w:i/>
          <w:iCs/>
          <w:color w:val="4472C4" w:themeColor="accent1"/>
        </w:rPr>
        <w:t>šis kriterijus vertinamas tik paskolos gavėjo prašymu ir šiuo atveju paskolos gavėjas turi pateikti pagrindžiančius dokumentus šiai sumai apskaičiuoti</w:t>
      </w:r>
      <w:r w:rsidRPr="00E13BAD">
        <w:rPr>
          <w:color w:val="4472C4" w:themeColor="accent1"/>
        </w:rPr>
        <w:t xml:space="preserve">), </w:t>
      </w:r>
      <w:r w:rsidRPr="006B003D">
        <w:t>tačiau</w:t>
      </w:r>
    </w:p>
    <w:p w14:paraId="0D70BF1F" w14:textId="4B3FDC81" w:rsidR="006B003D" w:rsidRPr="006B003D" w:rsidRDefault="002708FE" w:rsidP="006B003D">
      <w:pPr>
        <w:pStyle w:val="ListParagraph"/>
        <w:numPr>
          <w:ilvl w:val="0"/>
          <w:numId w:val="11"/>
        </w:numPr>
        <w:jc w:val="both"/>
      </w:pPr>
      <w:r w:rsidRPr="006B003D">
        <w:t xml:space="preserve">visais atvejais </w:t>
      </w:r>
      <w:r w:rsidR="00E13BAD">
        <w:t>p</w:t>
      </w:r>
      <w:r w:rsidRPr="006B003D">
        <w:t xml:space="preserve">askolos suma vienam </w:t>
      </w:r>
      <w:r w:rsidR="00E13BAD">
        <w:t>p</w:t>
      </w:r>
      <w:r w:rsidRPr="006B003D">
        <w:t xml:space="preserve">askolos gavėjui negali viršyti 3 mln. Eur </w:t>
      </w:r>
      <w:r w:rsidR="006B003D" w:rsidRPr="006B003D">
        <w:t>;</w:t>
      </w:r>
    </w:p>
    <w:p w14:paraId="5F135567" w14:textId="25CFF653" w:rsidR="004C0627" w:rsidRPr="00FA6392" w:rsidRDefault="00E13BAD" w:rsidP="00C60521">
      <w:pPr>
        <w:pStyle w:val="ListParagraph"/>
        <w:numPr>
          <w:ilvl w:val="0"/>
          <w:numId w:val="20"/>
        </w:numPr>
        <w:jc w:val="both"/>
      </w:pPr>
      <w:r>
        <w:t>p</w:t>
      </w:r>
      <w:r w:rsidR="004C0627" w:rsidRPr="006B003D">
        <w:t xml:space="preserve">askolos dydis apskaičiuojamas pagal </w:t>
      </w:r>
      <w:r>
        <w:t>p</w:t>
      </w:r>
      <w:r w:rsidR="004C0627" w:rsidRPr="006B003D">
        <w:t>askolos gavėjo pateiktą informaciją apie jau patirtas nuo 2020 m. kovo 16 d.</w:t>
      </w:r>
      <w:r w:rsidR="001304F9">
        <w:t xml:space="preserve"> (j</w:t>
      </w:r>
      <w:r w:rsidR="001304F9" w:rsidRPr="001304F9">
        <w:t xml:space="preserve">ei </w:t>
      </w:r>
      <w:r w:rsidR="001304F9">
        <w:t>p</w:t>
      </w:r>
      <w:r w:rsidR="001304F9" w:rsidRPr="001304F9">
        <w:t xml:space="preserve">askolos gavėjas jau yra gavęs finansavimą pagal skatinamąją finansinę priemonę „Paskolos labiausiai nuo COVID-19 nukentėjusiems verslams“ </w:t>
      </w:r>
      <w:r w:rsidR="001304F9">
        <w:t>p</w:t>
      </w:r>
      <w:r w:rsidR="001304F9" w:rsidRPr="001304F9">
        <w:t xml:space="preserve">askolos dydis apskaičiuojamas pagal </w:t>
      </w:r>
      <w:r w:rsidR="001304F9">
        <w:t>p</w:t>
      </w:r>
      <w:r w:rsidR="001304F9" w:rsidRPr="001304F9">
        <w:t>askolos gavėjo planuojamas patirti išlaidas nuo 2020 m. rugpjūčio 1 d.</w:t>
      </w:r>
      <w:r w:rsidR="001304F9">
        <w:t>)</w:t>
      </w:r>
      <w:r w:rsidR="001304F9" w:rsidRPr="001304F9">
        <w:t xml:space="preserve"> </w:t>
      </w:r>
      <w:r w:rsidR="004C0627" w:rsidRPr="006B003D">
        <w:t>ir planuojamas patirti išlaidas darbuotojų darbo užmokesčiui (</w:t>
      </w:r>
      <w:r w:rsidR="00030A0D" w:rsidRPr="00030A0D">
        <w:t>išskyrus tą darbo užmokesčio dalį, kurią Paskolos gavėjui mokėdama subsidijas kompensavo ar gali kompensuoti valstybė</w:t>
      </w:r>
      <w:r w:rsidR="004C0627" w:rsidRPr="006B003D">
        <w:t xml:space="preserve">), transporto ir kitų paslaugų pirkimui, nekilnojamo turto nuomai (išskyrus mokėtiną nuomos mokestį su </w:t>
      </w:r>
      <w:r w:rsidR="00FA6392">
        <w:t>p</w:t>
      </w:r>
      <w:r w:rsidR="004C0627" w:rsidRPr="006B003D">
        <w:t xml:space="preserve">askolos gavėju susijusiems asmenims ir tas išlaidas, kurias Paskolos gavėjui kompensuoja valstybė pagal priemonę „Dalinis nuomos mokesčio kompensavimas labiausiai nuo COVID-19 nukentėjusioms įmonėms“), turto išlaikymo išlaidoms, kitų gautų paskolų įmokų mokėjimui pagal paskolų grąžinimo grafikus (išskyrus tokius paskolos įmokų mokėjimus, kai viena įmoka grąžinamas visas paskolos likutis ar daugiau nei 50 proc. visos gautos paskolos sumos), kuriuos </w:t>
      </w:r>
      <w:r w:rsidR="00FA6392">
        <w:t>p</w:t>
      </w:r>
      <w:r w:rsidR="004C0627" w:rsidRPr="006B003D">
        <w:t xml:space="preserve">askolos gavėjas sudarė su finansuotoju iki paraiškos dėl </w:t>
      </w:r>
      <w:r w:rsidR="00FA6392">
        <w:t>p</w:t>
      </w:r>
      <w:r w:rsidR="004C0627" w:rsidRPr="006B003D">
        <w:t xml:space="preserve">askolos suteikimo pateikimo dienos, avansinių mokėjimų (jų dalies) grąžinimui pagal atšauktus užsakymus (apgyvendinimo paslaugų teikėjų, teikiančių klasifikuojamąsias apgyvendinimo paslaugas, atveju), komunalinių paslaugų išlaidoms ir visoms kitoms </w:t>
      </w:r>
      <w:r w:rsidR="00FA6392">
        <w:t>p</w:t>
      </w:r>
      <w:r w:rsidR="004C0627" w:rsidRPr="006B003D">
        <w:t xml:space="preserve">askolos gavėjo būtinosioms administracinėms išlaidoms, kurios bus patirtos siekiant išlaikyti darbo vietas ir tęsti </w:t>
      </w:r>
      <w:r w:rsidR="00FA6392">
        <w:t>p</w:t>
      </w:r>
      <w:r w:rsidR="004C0627" w:rsidRPr="006B003D">
        <w:t xml:space="preserve">askolos gavėjo veiklą, padengti. Aiškumo dėlei, finansuojamos tik tos </w:t>
      </w:r>
      <w:r w:rsidR="00FA6392">
        <w:t>p</w:t>
      </w:r>
      <w:r w:rsidR="004C0627" w:rsidRPr="006B003D">
        <w:t xml:space="preserve">askolos gavėjo išlaidos, kurios bus patiriamos pinigais, nefinansuojant amortizacinių atskaitymų, atidėjinių, šalių susitarimais atidėtų mokėjimų ar kitų nepiniginių išlaidų. Į prašomą </w:t>
      </w:r>
      <w:r w:rsidR="00FA6392">
        <w:t>p</w:t>
      </w:r>
      <w:r w:rsidR="004C0627" w:rsidRPr="006B003D">
        <w:t xml:space="preserve">askolos sumą negali būti traukiamos išlaidos, kurios finansuojamos kitomis priemonėmis, kurios </w:t>
      </w:r>
      <w:r w:rsidR="004C0627" w:rsidRPr="00FA6392">
        <w:t>įgyvendinamos vadovaujantis Komunikatu;</w:t>
      </w:r>
    </w:p>
    <w:p w14:paraId="606E9A61" w14:textId="77777777" w:rsidR="00196B61" w:rsidRPr="00196B61" w:rsidRDefault="00196B61" w:rsidP="00C60521">
      <w:pPr>
        <w:pStyle w:val="ListParagraph"/>
        <w:numPr>
          <w:ilvl w:val="0"/>
          <w:numId w:val="20"/>
        </w:numPr>
        <w:jc w:val="both"/>
      </w:pPr>
      <w:r w:rsidRPr="00196B61">
        <w:t>Paskolos palūkanos:</w:t>
      </w:r>
    </w:p>
    <w:p w14:paraId="0E2560C5" w14:textId="77777777" w:rsidR="00196B61" w:rsidRPr="00196B61" w:rsidRDefault="00196B61" w:rsidP="006B003D">
      <w:pPr>
        <w:jc w:val="both"/>
      </w:pPr>
      <w:r w:rsidRPr="00196B61">
        <w:lastRenderedPageBreak/>
        <w:t>Fiksuota metinė palūkanų norma paskoloms priklausomai nuo paskolos trukmės yra: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126"/>
        <w:gridCol w:w="2007"/>
      </w:tblGrid>
      <w:tr w:rsidR="00196B61" w:rsidRPr="00196B61" w14:paraId="664F2DEC" w14:textId="77777777" w:rsidTr="007A77B3">
        <w:tc>
          <w:tcPr>
            <w:tcW w:w="2030" w:type="dxa"/>
            <w:tcBorders>
              <w:top w:val="single" w:sz="4" w:space="0" w:color="auto"/>
              <w:left w:val="single" w:sz="4" w:space="0" w:color="auto"/>
              <w:bottom w:val="single" w:sz="4" w:space="0" w:color="auto"/>
              <w:right w:val="single" w:sz="4" w:space="0" w:color="auto"/>
            </w:tcBorders>
          </w:tcPr>
          <w:p w14:paraId="4AFE1DC3" w14:textId="77777777" w:rsidR="00196B61" w:rsidRPr="00196B61" w:rsidRDefault="00196B61" w:rsidP="006B003D">
            <w:pPr>
              <w:jc w:val="both"/>
            </w:pPr>
            <w:r w:rsidRPr="00196B61">
              <w:t>Paskolos gavėjo statusas</w:t>
            </w:r>
          </w:p>
        </w:tc>
        <w:tc>
          <w:tcPr>
            <w:tcW w:w="2030" w:type="dxa"/>
            <w:tcBorders>
              <w:top w:val="single" w:sz="4" w:space="0" w:color="auto"/>
              <w:left w:val="single" w:sz="4" w:space="0" w:color="auto"/>
              <w:bottom w:val="single" w:sz="4" w:space="0" w:color="auto"/>
              <w:right w:val="single" w:sz="4" w:space="0" w:color="auto"/>
            </w:tcBorders>
            <w:hideMark/>
          </w:tcPr>
          <w:p w14:paraId="11C8A486" w14:textId="77777777" w:rsidR="00196B61" w:rsidRPr="00196B61" w:rsidRDefault="00196B61" w:rsidP="006B003D">
            <w:pPr>
              <w:jc w:val="both"/>
            </w:pPr>
            <w:r w:rsidRPr="00196B61">
              <w:t>Paskolos trukmė iki 12 mėnesių (imtinai)</w:t>
            </w:r>
          </w:p>
        </w:tc>
        <w:tc>
          <w:tcPr>
            <w:tcW w:w="2126" w:type="dxa"/>
            <w:tcBorders>
              <w:top w:val="single" w:sz="4" w:space="0" w:color="auto"/>
              <w:left w:val="single" w:sz="4" w:space="0" w:color="auto"/>
              <w:bottom w:val="single" w:sz="4" w:space="0" w:color="auto"/>
              <w:right w:val="single" w:sz="4" w:space="0" w:color="auto"/>
            </w:tcBorders>
            <w:hideMark/>
          </w:tcPr>
          <w:p w14:paraId="595C649F" w14:textId="77777777" w:rsidR="00196B61" w:rsidRPr="00196B61" w:rsidRDefault="00196B61" w:rsidP="006B003D">
            <w:pPr>
              <w:jc w:val="both"/>
            </w:pPr>
            <w:r w:rsidRPr="00196B61">
              <w:t>Paskolos trukmė nuo 13 mėnesių iki 36 mėnesių (imtinai)</w:t>
            </w:r>
          </w:p>
        </w:tc>
        <w:tc>
          <w:tcPr>
            <w:tcW w:w="2007" w:type="dxa"/>
            <w:tcBorders>
              <w:top w:val="single" w:sz="4" w:space="0" w:color="auto"/>
              <w:left w:val="single" w:sz="4" w:space="0" w:color="auto"/>
              <w:bottom w:val="single" w:sz="4" w:space="0" w:color="auto"/>
              <w:right w:val="single" w:sz="4" w:space="0" w:color="auto"/>
            </w:tcBorders>
          </w:tcPr>
          <w:p w14:paraId="488D0D97" w14:textId="77777777" w:rsidR="00196B61" w:rsidRPr="00196B61" w:rsidRDefault="00196B61" w:rsidP="006B003D">
            <w:pPr>
              <w:jc w:val="both"/>
            </w:pPr>
            <w:r w:rsidRPr="00196B61">
              <w:t>Paskolos trukmė nuo 37 mėnesių iki 72 mėnesių (imtinai)</w:t>
            </w:r>
          </w:p>
        </w:tc>
      </w:tr>
      <w:tr w:rsidR="00196B61" w:rsidRPr="00196B61" w14:paraId="4CDF68FF" w14:textId="77777777" w:rsidTr="007A77B3">
        <w:tc>
          <w:tcPr>
            <w:tcW w:w="2030" w:type="dxa"/>
            <w:tcBorders>
              <w:top w:val="single" w:sz="4" w:space="0" w:color="auto"/>
              <w:left w:val="single" w:sz="4" w:space="0" w:color="auto"/>
              <w:bottom w:val="single" w:sz="4" w:space="0" w:color="auto"/>
              <w:right w:val="single" w:sz="4" w:space="0" w:color="auto"/>
            </w:tcBorders>
          </w:tcPr>
          <w:p w14:paraId="06A1AF4C" w14:textId="77777777" w:rsidR="00196B61" w:rsidRPr="00196B61" w:rsidRDefault="00196B61" w:rsidP="006B003D">
            <w:pPr>
              <w:jc w:val="both"/>
            </w:pPr>
            <w:r w:rsidRPr="00196B61">
              <w:t>SVV subjektas</w:t>
            </w:r>
          </w:p>
        </w:tc>
        <w:tc>
          <w:tcPr>
            <w:tcW w:w="2030" w:type="dxa"/>
            <w:tcBorders>
              <w:top w:val="single" w:sz="4" w:space="0" w:color="auto"/>
              <w:left w:val="single" w:sz="4" w:space="0" w:color="auto"/>
              <w:bottom w:val="single" w:sz="4" w:space="0" w:color="auto"/>
              <w:right w:val="single" w:sz="4" w:space="0" w:color="auto"/>
            </w:tcBorders>
            <w:hideMark/>
          </w:tcPr>
          <w:p w14:paraId="03CEB40E" w14:textId="77777777" w:rsidR="00196B61" w:rsidRPr="00196B61" w:rsidRDefault="00196B61" w:rsidP="006B003D">
            <w:pPr>
              <w:jc w:val="both"/>
            </w:pPr>
            <w:r w:rsidRPr="00196B61">
              <w:t>0,1 procento</w:t>
            </w:r>
          </w:p>
        </w:tc>
        <w:tc>
          <w:tcPr>
            <w:tcW w:w="2126" w:type="dxa"/>
            <w:tcBorders>
              <w:top w:val="single" w:sz="4" w:space="0" w:color="auto"/>
              <w:left w:val="single" w:sz="4" w:space="0" w:color="auto"/>
              <w:bottom w:val="single" w:sz="4" w:space="0" w:color="auto"/>
              <w:right w:val="single" w:sz="4" w:space="0" w:color="auto"/>
            </w:tcBorders>
            <w:hideMark/>
          </w:tcPr>
          <w:p w14:paraId="2BDE2E77" w14:textId="77777777" w:rsidR="00196B61" w:rsidRPr="00196B61" w:rsidRDefault="00196B61" w:rsidP="006B003D">
            <w:pPr>
              <w:jc w:val="both"/>
            </w:pPr>
            <w:r w:rsidRPr="00196B61">
              <w:t>0,19 procento</w:t>
            </w:r>
          </w:p>
        </w:tc>
        <w:tc>
          <w:tcPr>
            <w:tcW w:w="2007" w:type="dxa"/>
            <w:tcBorders>
              <w:top w:val="single" w:sz="4" w:space="0" w:color="auto"/>
              <w:left w:val="single" w:sz="4" w:space="0" w:color="auto"/>
              <w:bottom w:val="single" w:sz="4" w:space="0" w:color="auto"/>
              <w:right w:val="single" w:sz="4" w:space="0" w:color="auto"/>
            </w:tcBorders>
          </w:tcPr>
          <w:p w14:paraId="05A9599C" w14:textId="77777777" w:rsidR="00196B61" w:rsidRPr="00196B61" w:rsidRDefault="00196B61" w:rsidP="006B003D">
            <w:pPr>
              <w:jc w:val="both"/>
            </w:pPr>
            <w:r w:rsidRPr="00196B61">
              <w:t>0,69 procento</w:t>
            </w:r>
          </w:p>
        </w:tc>
      </w:tr>
      <w:tr w:rsidR="00196B61" w:rsidRPr="00196B61" w14:paraId="26756F1D" w14:textId="77777777" w:rsidTr="007A77B3">
        <w:tc>
          <w:tcPr>
            <w:tcW w:w="2030" w:type="dxa"/>
            <w:tcBorders>
              <w:top w:val="single" w:sz="4" w:space="0" w:color="auto"/>
              <w:left w:val="single" w:sz="4" w:space="0" w:color="auto"/>
              <w:bottom w:val="single" w:sz="4" w:space="0" w:color="auto"/>
              <w:right w:val="single" w:sz="4" w:space="0" w:color="auto"/>
            </w:tcBorders>
          </w:tcPr>
          <w:p w14:paraId="31CBE8BD" w14:textId="77777777" w:rsidR="00196B61" w:rsidRPr="00196B61" w:rsidRDefault="00196B61" w:rsidP="006B003D">
            <w:pPr>
              <w:jc w:val="both"/>
            </w:pPr>
            <w:r w:rsidRPr="00196B61">
              <w:t>Didelė įmonė</w:t>
            </w:r>
          </w:p>
        </w:tc>
        <w:tc>
          <w:tcPr>
            <w:tcW w:w="2030" w:type="dxa"/>
            <w:tcBorders>
              <w:top w:val="single" w:sz="4" w:space="0" w:color="auto"/>
              <w:left w:val="single" w:sz="4" w:space="0" w:color="auto"/>
              <w:bottom w:val="single" w:sz="4" w:space="0" w:color="auto"/>
              <w:right w:val="single" w:sz="4" w:space="0" w:color="auto"/>
            </w:tcBorders>
          </w:tcPr>
          <w:p w14:paraId="76AC55ED" w14:textId="77777777" w:rsidR="00196B61" w:rsidRPr="00196B61" w:rsidRDefault="00196B61" w:rsidP="006B003D">
            <w:pPr>
              <w:jc w:val="both"/>
            </w:pPr>
            <w:r w:rsidRPr="00196B61">
              <w:t>0,19 procento</w:t>
            </w:r>
          </w:p>
        </w:tc>
        <w:tc>
          <w:tcPr>
            <w:tcW w:w="2126" w:type="dxa"/>
            <w:tcBorders>
              <w:top w:val="single" w:sz="4" w:space="0" w:color="auto"/>
              <w:left w:val="single" w:sz="4" w:space="0" w:color="auto"/>
              <w:bottom w:val="single" w:sz="4" w:space="0" w:color="auto"/>
              <w:right w:val="single" w:sz="4" w:space="0" w:color="auto"/>
            </w:tcBorders>
          </w:tcPr>
          <w:p w14:paraId="4C6958F0" w14:textId="77777777" w:rsidR="00196B61" w:rsidRPr="00196B61" w:rsidRDefault="00196B61" w:rsidP="006B003D">
            <w:pPr>
              <w:jc w:val="both"/>
            </w:pPr>
            <w:r w:rsidRPr="00196B61">
              <w:t>0,69 procento</w:t>
            </w:r>
          </w:p>
        </w:tc>
        <w:tc>
          <w:tcPr>
            <w:tcW w:w="2007" w:type="dxa"/>
            <w:tcBorders>
              <w:top w:val="single" w:sz="4" w:space="0" w:color="auto"/>
              <w:left w:val="single" w:sz="4" w:space="0" w:color="auto"/>
              <w:bottom w:val="single" w:sz="4" w:space="0" w:color="auto"/>
              <w:right w:val="single" w:sz="4" w:space="0" w:color="auto"/>
            </w:tcBorders>
          </w:tcPr>
          <w:p w14:paraId="0085C223" w14:textId="77777777" w:rsidR="00196B61" w:rsidRPr="00196B61" w:rsidRDefault="00196B61" w:rsidP="006B003D">
            <w:pPr>
              <w:jc w:val="both"/>
            </w:pPr>
            <w:r w:rsidRPr="00196B61">
              <w:t>1,69 procento</w:t>
            </w:r>
          </w:p>
        </w:tc>
      </w:tr>
    </w:tbl>
    <w:p w14:paraId="0234806F" w14:textId="77777777" w:rsidR="00196B61" w:rsidRPr="00196B61" w:rsidRDefault="00196B61" w:rsidP="006B003D">
      <w:pPr>
        <w:jc w:val="both"/>
      </w:pPr>
    </w:p>
    <w:p w14:paraId="332FD996" w14:textId="77777777" w:rsidR="00196B61" w:rsidRPr="00196B61" w:rsidRDefault="00196B61" w:rsidP="006B003D">
      <w:pPr>
        <w:jc w:val="both"/>
        <w:rPr>
          <w:b/>
          <w:bCs/>
        </w:rPr>
      </w:pPr>
      <w:r w:rsidRPr="00196B61">
        <w:rPr>
          <w:b/>
          <w:bCs/>
        </w:rPr>
        <w:t xml:space="preserve">Įvertinkite ar: </w:t>
      </w:r>
    </w:p>
    <w:p w14:paraId="4DBB149E" w14:textId="5ADC68B7" w:rsidR="00196B61" w:rsidRPr="00FA6392" w:rsidRDefault="009F1609" w:rsidP="006B003D">
      <w:pPr>
        <w:pStyle w:val="ListParagraph"/>
        <w:numPr>
          <w:ilvl w:val="0"/>
          <w:numId w:val="13"/>
        </w:numPr>
        <w:jc w:val="both"/>
        <w:rPr>
          <w:i/>
          <w:iCs/>
          <w:color w:val="4472C4" w:themeColor="accent1"/>
        </w:rPr>
      </w:pPr>
      <w:r w:rsidRPr="00FA6392">
        <w:t>Paskolos gavėjas</w:t>
      </w:r>
      <w:r w:rsidR="00196B61" w:rsidRPr="00FA6392">
        <w:t xml:space="preserve"> turi galiojantį </w:t>
      </w:r>
      <w:r w:rsidR="00674F21" w:rsidRPr="00FA6392">
        <w:t>apgyvendinimo paslaugų klasifikavimo pažymėjimą</w:t>
      </w:r>
      <w:r w:rsidR="002708FE" w:rsidRPr="00FA6392">
        <w:t xml:space="preserve"> (paskolų, teikiamų klasifikuojamų apgyvendinimo paslaugų teikėjų atveju)</w:t>
      </w:r>
      <w:r w:rsidR="00674F21" w:rsidRPr="00FA6392">
        <w:t>.</w:t>
      </w:r>
      <w:r w:rsidR="00196B61" w:rsidRPr="00FA6392">
        <w:rPr>
          <w:color w:val="4472C4" w:themeColor="accent1"/>
        </w:rPr>
        <w:t xml:space="preserve"> </w:t>
      </w:r>
      <w:r w:rsidR="00196B61" w:rsidRPr="00FA6392">
        <w:rPr>
          <w:i/>
          <w:iCs/>
          <w:color w:val="4472C4" w:themeColor="accent1"/>
        </w:rPr>
        <w:t>Šis atitikimas reikalavimui bus vertinamas pagal viešai prieinamą informaciją Valstybinės vartotojų teisių apsaugos tarnybos interneto svetainėje;</w:t>
      </w:r>
    </w:p>
    <w:p w14:paraId="1D12BE51" w14:textId="073A7E4B" w:rsidR="00196B61" w:rsidRPr="00FA6392" w:rsidRDefault="009F1609" w:rsidP="006B003D">
      <w:pPr>
        <w:pStyle w:val="ListParagraph"/>
        <w:numPr>
          <w:ilvl w:val="0"/>
          <w:numId w:val="13"/>
        </w:numPr>
        <w:jc w:val="both"/>
      </w:pPr>
      <w:r w:rsidRPr="00FA6392">
        <w:t xml:space="preserve">Paskolos gavėjas </w:t>
      </w:r>
      <w:r w:rsidR="00196B61" w:rsidRPr="00FA6392">
        <w:t>veikia Lietuvos Respublikoje t. y. kuria darbo vietas Lietuvos Respublikoje, ir (arba) nuo savo vykdomos veiklos moka mokesčius arba Valstybinio socialinio draudimo fondo valdybos prie Socialinės apsaugos ir darbo ministerijos įmokas į Lietuvos Respublikos biudžetą</w:t>
      </w:r>
      <w:r w:rsidRPr="00FA6392">
        <w:t>;</w:t>
      </w:r>
    </w:p>
    <w:p w14:paraId="731BDB2D" w14:textId="0C61D27A" w:rsidR="00196B61" w:rsidRPr="00FA6392" w:rsidRDefault="00196B61" w:rsidP="006B003D">
      <w:pPr>
        <w:pStyle w:val="ListParagraph"/>
        <w:numPr>
          <w:ilvl w:val="0"/>
          <w:numId w:val="13"/>
        </w:numPr>
        <w:jc w:val="both"/>
      </w:pPr>
      <w:r w:rsidRPr="00FA6392">
        <w:t xml:space="preserve">Įmonių grupė, kuriai priklauso </w:t>
      </w:r>
      <w:r w:rsidR="00FA6392">
        <w:t>p</w:t>
      </w:r>
      <w:r w:rsidRPr="00FA6392">
        <w:t xml:space="preserve">askolos gavėjas, ir </w:t>
      </w:r>
      <w:r w:rsidR="00FA6392">
        <w:t>p</w:t>
      </w:r>
      <w:r w:rsidRPr="00FA6392">
        <w:t xml:space="preserve">askolos gavėjas 2019 m. gruodžio 31 d. nebuvo laikomi sunkumų patiriančiais, kaip tai apibrėžta 2014 m. birželio 17 d. Komisijos reglamente (ES) Nr. 651/2014, kuriuo tam tikrų kategorijų pagalba skelbiama suderinama su vidaus rinka taikant Sutarties 107 ir 108 straipsnius (toliau – Reglamentas Nr. 651/2014) 2 straipsnio 18 punkte arba 2019 m. gruodžio 31 d. Įmonių grupė, kuriai priklauso </w:t>
      </w:r>
      <w:r w:rsidR="00FA6392">
        <w:t>p</w:t>
      </w:r>
      <w:r w:rsidRPr="00FA6392">
        <w:t xml:space="preserve">askolos gavėjas, ir </w:t>
      </w:r>
      <w:r w:rsidR="00FA6392">
        <w:t>p</w:t>
      </w:r>
      <w:r w:rsidRPr="00FA6392">
        <w:t xml:space="preserve">askolos gavėjas buvo patiriantys sunkumų, kaip tai apibrėžta Reglamento Nr. 651/2014 2 straipsnio 18 punkte, tačiau paraiškos pateikimo metu nėra laikomi sunkumų patiriančiais. </w:t>
      </w:r>
      <w:r w:rsidRPr="00FA6392">
        <w:rPr>
          <w:i/>
          <w:iCs/>
          <w:color w:val="4472C4" w:themeColor="accent1"/>
        </w:rPr>
        <w:t>Paskolos gavėjas turi pagrįsti dokumentais, pateikdamas 2020 m. tarpinės finansinės atskaitomybės už paskutinį praėjusį ketvirtį arba mėnesio, ėjusio prieš paraiškos pateikimą, paskutinę dieną dokumentus ir, jei per laikotarpį nuo 2020 m. sausio 1 d. iki paraiškos pateikimo dienos įvyko nuosavybės struktūros (kapitalo, akcijų priedų, perkainojimo rezervų, rezervų) pokyčių, – dokumentus, pagrindžiančius šiuos pokyčius (sukauptų nuostolių padengimo, kapitalo padidinimo apmokėjimo, turto vertinimo ir (arba) kitus susijusius dokumentus). Verslininkas laikomas sunkumų patiriančiu, jei jam yra pradėta fizinio asmens bankroto procedūra.</w:t>
      </w:r>
      <w:r w:rsidRPr="00FA6392">
        <w:rPr>
          <w:color w:val="4472C4" w:themeColor="accent1"/>
        </w:rPr>
        <w:t xml:space="preserve"> </w:t>
      </w:r>
      <w:r w:rsidRPr="00FA6392">
        <w:rPr>
          <w:i/>
          <w:iCs/>
          <w:color w:val="4472C4" w:themeColor="accent1"/>
        </w:rPr>
        <w:t xml:space="preserve">Įsivertinti ar įmonė yra sunkumų patirianti, jums padės ši nuoroda </w:t>
      </w:r>
      <w:hyperlink r:id="rId10" w:history="1">
        <w:r w:rsidRPr="00FA6392">
          <w:rPr>
            <w:rStyle w:val="Hyperlink"/>
            <w:i/>
            <w:iCs/>
            <w:color w:val="4472C4" w:themeColor="accent1"/>
          </w:rPr>
          <w:t>https://invega.lt/lt/covid-19/kas-yra-sunkumu-patirianti-imone/</w:t>
        </w:r>
      </w:hyperlink>
      <w:r w:rsidRPr="00FA6392">
        <w:rPr>
          <w:i/>
          <w:iCs/>
          <w:color w:val="4472C4" w:themeColor="accent1"/>
        </w:rPr>
        <w:t xml:space="preserve">, taip pat Jūsų patogumui pateiktos skaičiuoklės sunkumų patyrimui įvertinti: MVĮ atveju: </w:t>
      </w:r>
      <w:hyperlink r:id="rId11" w:history="1">
        <w:r w:rsidRPr="00FA6392">
          <w:rPr>
            <w:rStyle w:val="Hyperlink"/>
            <w:i/>
            <w:iCs/>
            <w:color w:val="4472C4" w:themeColor="accent1"/>
          </w:rPr>
          <w:t>https://invega.lt/lt/covid-19/kas-yra-sunkumu-patirianti-imone/sunkumu-vertinimo-skaiciuokle-mvi/</w:t>
        </w:r>
      </w:hyperlink>
      <w:r w:rsidRPr="00FA6392">
        <w:rPr>
          <w:i/>
          <w:iCs/>
          <w:color w:val="4472C4" w:themeColor="accent1"/>
        </w:rPr>
        <w:t xml:space="preserve"> ir didelės įmonės atveju: </w:t>
      </w:r>
      <w:hyperlink r:id="rId12" w:history="1">
        <w:r w:rsidRPr="00FA6392">
          <w:rPr>
            <w:rStyle w:val="Hyperlink"/>
            <w:i/>
            <w:iCs/>
            <w:color w:val="4472C4" w:themeColor="accent1"/>
          </w:rPr>
          <w:t>https://invega.lt/lt/covid-19/kas-yra-sunkumu-patirianti-imone/sunkumu-vertinimo-skaiciuokle-di/</w:t>
        </w:r>
      </w:hyperlink>
      <w:r w:rsidRPr="00FA6392">
        <w:rPr>
          <w:i/>
          <w:iCs/>
        </w:rPr>
        <w:t>;</w:t>
      </w:r>
    </w:p>
    <w:p w14:paraId="0EB43E91" w14:textId="1B6A7609" w:rsidR="00196B61" w:rsidRPr="00FA6392" w:rsidRDefault="009F1609" w:rsidP="006B003D">
      <w:pPr>
        <w:pStyle w:val="ListParagraph"/>
        <w:numPr>
          <w:ilvl w:val="0"/>
          <w:numId w:val="13"/>
        </w:numPr>
        <w:jc w:val="both"/>
        <w:rPr>
          <w:color w:val="4472C4" w:themeColor="accent1"/>
        </w:rPr>
      </w:pPr>
      <w:r w:rsidRPr="00FA6392">
        <w:t xml:space="preserve">Paskolos gavėjas </w:t>
      </w:r>
      <w:r w:rsidR="00196B61" w:rsidRPr="00FA6392">
        <w:t xml:space="preserve">atitinka minimalius Lietuvos Respublikos mokesčių administravimo įstatymo </w:t>
      </w:r>
      <w:r w:rsidR="00FA6392" w:rsidRPr="00FA6392">
        <w:t>40</w:t>
      </w:r>
      <w:r w:rsidR="00FA6392" w:rsidRPr="00FA6392">
        <w:rPr>
          <w:vertAlign w:val="superscript"/>
        </w:rPr>
        <w:t>1</w:t>
      </w:r>
      <w:r w:rsidR="00196B61" w:rsidRPr="00FA6392">
        <w:t xml:space="preserve"> straipsnyje nustatytus patikimų mokesčių mokėtojų kriterijus. </w:t>
      </w:r>
      <w:r w:rsidR="00196B61" w:rsidRPr="00FA6392">
        <w:rPr>
          <w:i/>
          <w:iCs/>
          <w:color w:val="4472C4" w:themeColor="accent1"/>
        </w:rPr>
        <w:t>Atitikimas šiam reikalavimui vertinamas pagal viešai paskelbtą Valstybinės mokesčių inspekcijos informaciją;</w:t>
      </w:r>
    </w:p>
    <w:p w14:paraId="33D105D6" w14:textId="77777777" w:rsidR="00196B61" w:rsidRPr="00FA6392" w:rsidRDefault="00196B61" w:rsidP="006B003D">
      <w:pPr>
        <w:pStyle w:val="ListParagraph"/>
        <w:numPr>
          <w:ilvl w:val="0"/>
          <w:numId w:val="13"/>
        </w:numPr>
        <w:jc w:val="both"/>
      </w:pPr>
      <w:r w:rsidRPr="00FA6392">
        <w:t xml:space="preserve">juridinio asmens atveju, jam nėra iškelta nemokumo byla ir (ar) jis nėra restruktūrizuojamas pagal Lietuvos Respublikos juridinių asmenų nemokumo įstatymą </w:t>
      </w:r>
      <w:r w:rsidRPr="00FA6392">
        <w:lastRenderedPageBreak/>
        <w:t xml:space="preserve">arba iki jo įsigaliojimo galiojusius Lietuvos Respublikos įmonių bankroto įstatymą ir Lietuvos Respublikos restruktūrizavimo įstatymą arba, fizinio asmens atveju, jam nėra iškelta fizinio asmens bankroto byla pagal Lietuvos Respublikos fizinių asmenų bankroto įstatymą. </w:t>
      </w:r>
      <w:r w:rsidRPr="00FA6392">
        <w:rPr>
          <w:i/>
          <w:iCs/>
          <w:color w:val="4472C4" w:themeColor="accent1"/>
        </w:rPr>
        <w:t>Atitikimas reikalavimui vertinamas pagal viešai prieinamus valstybinių registrų duomenis</w:t>
      </w:r>
      <w:r w:rsidRPr="00FA6392">
        <w:rPr>
          <w:color w:val="4472C4" w:themeColor="accent1"/>
        </w:rPr>
        <w:t>;</w:t>
      </w:r>
    </w:p>
    <w:p w14:paraId="74D9AF51" w14:textId="61AF3E36" w:rsidR="00196B61" w:rsidRPr="00FA6392" w:rsidRDefault="00196B61" w:rsidP="006B003D">
      <w:pPr>
        <w:pStyle w:val="ListParagraph"/>
        <w:numPr>
          <w:ilvl w:val="0"/>
          <w:numId w:val="13"/>
        </w:numPr>
        <w:jc w:val="both"/>
      </w:pPr>
      <w:r w:rsidRPr="00FA6392">
        <w:t xml:space="preserve">paraiškos dėl </w:t>
      </w:r>
      <w:r w:rsidR="00674F21" w:rsidRPr="00FA6392">
        <w:t>p</w:t>
      </w:r>
      <w:r w:rsidRPr="00FA6392">
        <w:t xml:space="preserve">askolos gavimo pateikimo metu </w:t>
      </w:r>
      <w:r w:rsidR="00E40770">
        <w:t>į</w:t>
      </w:r>
      <w:r w:rsidRPr="00FA6392">
        <w:t xml:space="preserve">monių grupė, įskaitant </w:t>
      </w:r>
      <w:r w:rsidR="00E40770">
        <w:t>p</w:t>
      </w:r>
      <w:r w:rsidRPr="00FA6392">
        <w:t>askolos gavėją, yra pateikusi VĮ „Registrų centras“ 2019 m. finansinių ataskaitų rinkinį, kuriame būtų detaliai atskleista nuosavo kapitalo sudėtis. Šis reikalavimas netaikomas verslininkams ir toms Įmonių grupės įmonėms, kurios yra įsteigtos nuo 2020 m. sausio 1 d.;</w:t>
      </w:r>
    </w:p>
    <w:p w14:paraId="5E27A8B1" w14:textId="3A62739F" w:rsidR="00196B61" w:rsidRPr="00FA6392" w:rsidRDefault="00674F21" w:rsidP="006B003D">
      <w:pPr>
        <w:pStyle w:val="ListParagraph"/>
        <w:numPr>
          <w:ilvl w:val="0"/>
          <w:numId w:val="13"/>
        </w:numPr>
        <w:jc w:val="both"/>
      </w:pPr>
      <w:r w:rsidRPr="00FA6392">
        <w:t>paskolos gavėjas</w:t>
      </w:r>
      <w:r w:rsidR="00196B61" w:rsidRPr="00FA6392">
        <w:t xml:space="preserve"> nėra gavęs neteisėtos pagalbos, kuri Europos Komisijos sprendimu (dėl individualios pagalbos arba pagalbos schemos) buvo pripažinta neteisėta ir nesuderinama su vidaus rinka, arba yra grąžinęs visą jos sumą, įskaitant palūkanas, teisės aktuose nustatyta tvarka.</w:t>
      </w:r>
    </w:p>
    <w:p w14:paraId="327F684A" w14:textId="77777777" w:rsidR="00196B61" w:rsidRPr="00196B61" w:rsidRDefault="00196B61" w:rsidP="006B003D">
      <w:pPr>
        <w:jc w:val="both"/>
        <w:rPr>
          <w:b/>
          <w:bCs/>
        </w:rPr>
      </w:pPr>
      <w:r w:rsidRPr="00196B61">
        <w:rPr>
          <w:b/>
          <w:bCs/>
        </w:rPr>
        <w:t>Taip pat paruoškite:</w:t>
      </w:r>
    </w:p>
    <w:p w14:paraId="7D002A7C" w14:textId="23C3985B" w:rsidR="00674F21" w:rsidRPr="00F2575F" w:rsidRDefault="00196B61" w:rsidP="00E40770">
      <w:pPr>
        <w:pStyle w:val="ListParagraph"/>
        <w:numPr>
          <w:ilvl w:val="0"/>
          <w:numId w:val="15"/>
        </w:numPr>
        <w:jc w:val="both"/>
        <w:rPr>
          <w:i/>
          <w:iCs/>
        </w:rPr>
      </w:pPr>
      <w:r w:rsidRPr="00196B61">
        <w:t xml:space="preserve">kartu su paraiška reikės pateikti SVV subjekto statuso deklaraciją. </w:t>
      </w:r>
      <w:r w:rsidRPr="00E40770">
        <w:rPr>
          <w:i/>
          <w:iCs/>
        </w:rPr>
        <w:t xml:space="preserve">Paaiškinimus kaip pildyti SVV subjekto deklaraciją rasite čia </w:t>
      </w:r>
      <w:hyperlink r:id="rId13" w:history="1">
        <w:r w:rsidRPr="00E40770">
          <w:rPr>
            <w:rStyle w:val="Hyperlink"/>
            <w:i/>
            <w:iCs/>
          </w:rPr>
          <w:t>https://invega.lt/lt/covid-19/kaip-deklaruoti-svv-subjekto-statusa/</w:t>
        </w:r>
      </w:hyperlink>
      <w:r w:rsidR="00674F21" w:rsidRPr="00FA6392">
        <w:t xml:space="preserve">. </w:t>
      </w:r>
      <w:bookmarkStart w:id="1" w:name="_Hlk45698335"/>
      <w:r w:rsidR="00674F21" w:rsidRPr="00FA6392">
        <w:t xml:space="preserve">Taip pat reikia pateikti </w:t>
      </w:r>
      <w:r w:rsidR="00674F21" w:rsidRPr="009F5C82">
        <w:rPr>
          <w:i/>
          <w:iCs/>
          <w:color w:val="4472C4" w:themeColor="accent1"/>
        </w:rPr>
        <w:t>aktualią paskolos gavėjo akcininkų struktūrą, verslo planą, kuriame, be kita ko, būtų trumpai aprašytas vykdomas verslas, esama ir prognozuojama finansinė būklė (turimi ir būsimi finansiniai ištekliai, siūlymas dėl paskolos grąžinimo grafiko išdėstymo ir užtikrinimo priemonių (jei taikoma);</w:t>
      </w:r>
    </w:p>
    <w:p w14:paraId="036C8195" w14:textId="0565813F" w:rsidR="00FC2D53" w:rsidRDefault="00F2575F" w:rsidP="00FC2D53">
      <w:pPr>
        <w:pStyle w:val="ListParagraph"/>
        <w:numPr>
          <w:ilvl w:val="0"/>
          <w:numId w:val="15"/>
        </w:numPr>
        <w:jc w:val="both"/>
        <w:rPr>
          <w:i/>
          <w:iCs/>
          <w:color w:val="4472C4" w:themeColor="accent1"/>
        </w:rPr>
      </w:pPr>
      <w:r w:rsidRPr="001C042B">
        <w:t>kartu su paraiška paskolai gauti paskolos gavėjas tur</w:t>
      </w:r>
      <w:r w:rsidR="00FC2D53" w:rsidRPr="001C042B">
        <w:t>ės</w:t>
      </w:r>
      <w:r w:rsidRPr="001C042B">
        <w:t xml:space="preserve"> pateikti </w:t>
      </w:r>
      <w:r w:rsidR="00AB551B" w:rsidRPr="001C042B">
        <w:t>pinigų srautų</w:t>
      </w:r>
      <w:r w:rsidR="00AB551B" w:rsidRPr="00AB551B">
        <w:t xml:space="preserve"> istorini</w:t>
      </w:r>
      <w:r w:rsidR="00AB551B">
        <w:t>us</w:t>
      </w:r>
      <w:r w:rsidR="00AB551B" w:rsidRPr="00AB551B">
        <w:t xml:space="preserve"> ir prognozuojam</w:t>
      </w:r>
      <w:r w:rsidR="00AB551B">
        <w:t>us</w:t>
      </w:r>
      <w:r w:rsidR="00AB551B" w:rsidRPr="00AB551B">
        <w:t xml:space="preserve"> duomen</w:t>
      </w:r>
      <w:r w:rsidR="00AB551B">
        <w:t>is</w:t>
      </w:r>
      <w:r w:rsidR="00AB551B" w:rsidRPr="00AB551B">
        <w:t xml:space="preserve"> (</w:t>
      </w:r>
      <w:r w:rsidR="00AB551B" w:rsidRPr="00AB551B">
        <w:rPr>
          <w:i/>
          <w:iCs/>
          <w:color w:val="4472C4" w:themeColor="accent1"/>
        </w:rPr>
        <w:t>excel forma, pridedama prie laiško</w:t>
      </w:r>
      <w:r w:rsidR="00AB551B" w:rsidRPr="00AB551B">
        <w:t>).</w:t>
      </w:r>
      <w:r w:rsidR="00161969" w:rsidRPr="00161969">
        <w:rPr>
          <w:i/>
          <w:iCs/>
          <w:color w:val="4472C4" w:themeColor="accent1"/>
        </w:rPr>
        <w:t xml:space="preserve"> </w:t>
      </w:r>
      <w:r w:rsidR="00161969" w:rsidRPr="001C042B">
        <w:t>Esant poreikiui, paskolos gavėjo gali būti paprašyta pateikti</w:t>
      </w:r>
      <w:r w:rsidRPr="00FC2D53">
        <w:rPr>
          <w:i/>
          <w:iCs/>
        </w:rPr>
        <w:t xml:space="preserve"> </w:t>
      </w:r>
      <w:r w:rsidRPr="00BA0E00">
        <w:rPr>
          <w:i/>
          <w:iCs/>
          <w:color w:val="4472C4" w:themeColor="accent1"/>
        </w:rPr>
        <w:t>patirtų ir planuojam</w:t>
      </w:r>
      <w:r w:rsidR="00FC2D53" w:rsidRPr="00BA0E00">
        <w:rPr>
          <w:i/>
          <w:iCs/>
          <w:color w:val="4472C4" w:themeColor="accent1"/>
        </w:rPr>
        <w:t>ų</w:t>
      </w:r>
      <w:r w:rsidRPr="00BA0E00">
        <w:rPr>
          <w:i/>
          <w:iCs/>
          <w:color w:val="4472C4" w:themeColor="accent1"/>
        </w:rPr>
        <w:t xml:space="preserve"> patirti išlaid</w:t>
      </w:r>
      <w:r w:rsidR="00FC2D53" w:rsidRPr="00BA0E00">
        <w:rPr>
          <w:i/>
          <w:iCs/>
          <w:color w:val="4472C4" w:themeColor="accent1"/>
        </w:rPr>
        <w:t>ų</w:t>
      </w:r>
      <w:r w:rsidRPr="00BA0E00">
        <w:rPr>
          <w:i/>
          <w:iCs/>
          <w:color w:val="4472C4" w:themeColor="accent1"/>
        </w:rPr>
        <w:t xml:space="preserve"> pagrindžiančius dokumentus.</w:t>
      </w:r>
      <w:r w:rsidR="00FC2D53" w:rsidRPr="00BA0E00">
        <w:rPr>
          <w:i/>
          <w:iCs/>
          <w:color w:val="4472C4" w:themeColor="accent1"/>
        </w:rPr>
        <w:t xml:space="preserve"> Dokumentai galėtų būti šie:</w:t>
      </w:r>
      <w:r w:rsidR="00FC2D53" w:rsidRPr="00BA0E00">
        <w:rPr>
          <w:color w:val="4472C4" w:themeColor="accent1"/>
        </w:rPr>
        <w:t xml:space="preserve"> </w:t>
      </w:r>
      <w:r w:rsidR="00FC2D53" w:rsidRPr="00BA0E00">
        <w:rPr>
          <w:i/>
          <w:iCs/>
          <w:color w:val="4472C4" w:themeColor="accent1"/>
        </w:rPr>
        <w:t>patalpų nuomos sutartys, dokumentai (sąskaitos, sutartys ar kiti apskaitos dokumentai), pagrindžiantys patirtas arba planuojamas patirti išlaidas, turimos paskolų sutartys su paskolos grąžinimo grafikais</w:t>
      </w:r>
      <w:r w:rsidR="00161969">
        <w:rPr>
          <w:i/>
          <w:iCs/>
          <w:color w:val="4472C4" w:themeColor="accent1"/>
        </w:rPr>
        <w:t>.</w:t>
      </w:r>
      <w:bookmarkEnd w:id="1"/>
    </w:p>
    <w:sectPr w:rsidR="00FC2D5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AF2"/>
    <w:multiLevelType w:val="hybridMultilevel"/>
    <w:tmpl w:val="02AA8136"/>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7E7506A"/>
    <w:multiLevelType w:val="hybridMultilevel"/>
    <w:tmpl w:val="8064F0D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4D3108"/>
    <w:multiLevelType w:val="hybridMultilevel"/>
    <w:tmpl w:val="FCA26296"/>
    <w:lvl w:ilvl="0" w:tplc="9AFA088A">
      <w:start w:val="1"/>
      <w:numFmt w:val="decimal"/>
      <w:lvlText w:val="%1."/>
      <w:lvlJc w:val="left"/>
      <w:pPr>
        <w:ind w:left="1660" w:hanging="13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4679F5"/>
    <w:multiLevelType w:val="hybridMultilevel"/>
    <w:tmpl w:val="22A214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6457F0"/>
    <w:multiLevelType w:val="hybridMultilevel"/>
    <w:tmpl w:val="B246BA7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293E63"/>
    <w:multiLevelType w:val="hybridMultilevel"/>
    <w:tmpl w:val="2E0874F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540769"/>
    <w:multiLevelType w:val="hybridMultilevel"/>
    <w:tmpl w:val="5FCA2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674E68"/>
    <w:multiLevelType w:val="hybridMultilevel"/>
    <w:tmpl w:val="7DAA5B60"/>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4AD11AA"/>
    <w:multiLevelType w:val="hybridMultilevel"/>
    <w:tmpl w:val="B8C046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76738F1"/>
    <w:multiLevelType w:val="hybridMultilevel"/>
    <w:tmpl w:val="693CA99C"/>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A481612"/>
    <w:multiLevelType w:val="hybridMultilevel"/>
    <w:tmpl w:val="2C7632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A44BDC"/>
    <w:multiLevelType w:val="hybridMultilevel"/>
    <w:tmpl w:val="F2CAD64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7801B1"/>
    <w:multiLevelType w:val="hybridMultilevel"/>
    <w:tmpl w:val="0D5CD6CE"/>
    <w:lvl w:ilvl="0" w:tplc="04270017">
      <w:start w:val="1"/>
      <w:numFmt w:val="lowerLetter"/>
      <w:lvlText w:val="%1)"/>
      <w:lvlJc w:val="left"/>
      <w:pPr>
        <w:ind w:left="1660" w:hanging="13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700990"/>
    <w:multiLevelType w:val="hybridMultilevel"/>
    <w:tmpl w:val="EF08A0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2D281F"/>
    <w:multiLevelType w:val="hybridMultilevel"/>
    <w:tmpl w:val="CE563A9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EBD31F4"/>
    <w:multiLevelType w:val="hybridMultilevel"/>
    <w:tmpl w:val="2C7632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BD3439"/>
    <w:multiLevelType w:val="hybridMultilevel"/>
    <w:tmpl w:val="4B625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4453E5"/>
    <w:multiLevelType w:val="hybridMultilevel"/>
    <w:tmpl w:val="FE3E37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461067F"/>
    <w:multiLevelType w:val="hybridMultilevel"/>
    <w:tmpl w:val="D028365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A001A3C"/>
    <w:multiLevelType w:val="hybridMultilevel"/>
    <w:tmpl w:val="3FF06C5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10"/>
  </w:num>
  <w:num w:numId="5">
    <w:abstractNumId w:val="16"/>
  </w:num>
  <w:num w:numId="6">
    <w:abstractNumId w:val="15"/>
  </w:num>
  <w:num w:numId="7">
    <w:abstractNumId w:val="12"/>
  </w:num>
  <w:num w:numId="8">
    <w:abstractNumId w:val="0"/>
  </w:num>
  <w:num w:numId="9">
    <w:abstractNumId w:val="19"/>
  </w:num>
  <w:num w:numId="10">
    <w:abstractNumId w:val="7"/>
  </w:num>
  <w:num w:numId="11">
    <w:abstractNumId w:val="5"/>
  </w:num>
  <w:num w:numId="12">
    <w:abstractNumId w:val="14"/>
  </w:num>
  <w:num w:numId="13">
    <w:abstractNumId w:val="9"/>
  </w:num>
  <w:num w:numId="14">
    <w:abstractNumId w:val="13"/>
  </w:num>
  <w:num w:numId="15">
    <w:abstractNumId w:val="1"/>
  </w:num>
  <w:num w:numId="16">
    <w:abstractNumId w:val="8"/>
  </w:num>
  <w:num w:numId="17">
    <w:abstractNumId w:val="3"/>
  </w:num>
  <w:num w:numId="18">
    <w:abstractNumId w:val="1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1C"/>
    <w:rsid w:val="00030A0D"/>
    <w:rsid w:val="000378DE"/>
    <w:rsid w:val="000638F9"/>
    <w:rsid w:val="001078FD"/>
    <w:rsid w:val="001304F9"/>
    <w:rsid w:val="00161969"/>
    <w:rsid w:val="00196B61"/>
    <w:rsid w:val="001C042B"/>
    <w:rsid w:val="002708FE"/>
    <w:rsid w:val="002803A2"/>
    <w:rsid w:val="00296593"/>
    <w:rsid w:val="002B48CE"/>
    <w:rsid w:val="002B5A58"/>
    <w:rsid w:val="003C5749"/>
    <w:rsid w:val="004645B3"/>
    <w:rsid w:val="004C0627"/>
    <w:rsid w:val="004C597A"/>
    <w:rsid w:val="005635BF"/>
    <w:rsid w:val="005D256F"/>
    <w:rsid w:val="00622B6B"/>
    <w:rsid w:val="00674F21"/>
    <w:rsid w:val="006B003D"/>
    <w:rsid w:val="007365D6"/>
    <w:rsid w:val="00760F84"/>
    <w:rsid w:val="00765B5C"/>
    <w:rsid w:val="007C6096"/>
    <w:rsid w:val="008878B3"/>
    <w:rsid w:val="008B6FCF"/>
    <w:rsid w:val="008F6EE1"/>
    <w:rsid w:val="009F1609"/>
    <w:rsid w:val="009F5C82"/>
    <w:rsid w:val="00A2367C"/>
    <w:rsid w:val="00AB551B"/>
    <w:rsid w:val="00AC38AB"/>
    <w:rsid w:val="00BA0E00"/>
    <w:rsid w:val="00BF4B9E"/>
    <w:rsid w:val="00C105B6"/>
    <w:rsid w:val="00C60521"/>
    <w:rsid w:val="00CB7F1C"/>
    <w:rsid w:val="00CC178C"/>
    <w:rsid w:val="00E13BAD"/>
    <w:rsid w:val="00E40770"/>
    <w:rsid w:val="00F23DC2"/>
    <w:rsid w:val="00F2575F"/>
    <w:rsid w:val="00FA6392"/>
    <w:rsid w:val="00FC2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5255"/>
  <w15:chartTrackingRefBased/>
  <w15:docId w15:val="{7A3509EC-609D-43C0-8115-70945969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1C"/>
    <w:rPr>
      <w:rFonts w:ascii="Segoe UI" w:hAnsi="Segoe UI" w:cs="Segoe UI"/>
      <w:sz w:val="18"/>
      <w:szCs w:val="18"/>
    </w:rPr>
  </w:style>
  <w:style w:type="paragraph" w:styleId="ListParagraph">
    <w:name w:val="List Paragraph"/>
    <w:basedOn w:val="Normal"/>
    <w:uiPriority w:val="34"/>
    <w:qFormat/>
    <w:rsid w:val="00CB7F1C"/>
    <w:pPr>
      <w:ind w:left="720"/>
      <w:contextualSpacing/>
    </w:pPr>
  </w:style>
  <w:style w:type="character" w:styleId="Hyperlink">
    <w:name w:val="Hyperlink"/>
    <w:basedOn w:val="DefaultParagraphFont"/>
    <w:uiPriority w:val="99"/>
    <w:unhideWhenUsed/>
    <w:rsid w:val="00CB7F1C"/>
    <w:rPr>
      <w:color w:val="0563C1" w:themeColor="hyperlink"/>
      <w:u w:val="single"/>
    </w:rPr>
  </w:style>
  <w:style w:type="character" w:styleId="UnresolvedMention">
    <w:name w:val="Unresolved Mention"/>
    <w:basedOn w:val="DefaultParagraphFont"/>
    <w:uiPriority w:val="99"/>
    <w:semiHidden/>
    <w:unhideWhenUsed/>
    <w:rsid w:val="00CB7F1C"/>
    <w:rPr>
      <w:color w:val="605E5C"/>
      <w:shd w:val="clear" w:color="auto" w:fill="E1DFDD"/>
    </w:rPr>
  </w:style>
  <w:style w:type="character" w:styleId="CommentReference">
    <w:name w:val="annotation reference"/>
    <w:basedOn w:val="DefaultParagraphFont"/>
    <w:uiPriority w:val="99"/>
    <w:semiHidden/>
    <w:unhideWhenUsed/>
    <w:rsid w:val="00765B5C"/>
    <w:rPr>
      <w:sz w:val="16"/>
      <w:szCs w:val="16"/>
    </w:rPr>
  </w:style>
  <w:style w:type="paragraph" w:styleId="CommentText">
    <w:name w:val="annotation text"/>
    <w:basedOn w:val="Normal"/>
    <w:link w:val="CommentTextChar"/>
    <w:uiPriority w:val="99"/>
    <w:semiHidden/>
    <w:unhideWhenUsed/>
    <w:rsid w:val="00765B5C"/>
    <w:pPr>
      <w:spacing w:line="240" w:lineRule="auto"/>
    </w:pPr>
    <w:rPr>
      <w:sz w:val="20"/>
      <w:szCs w:val="20"/>
    </w:rPr>
  </w:style>
  <w:style w:type="character" w:customStyle="1" w:styleId="CommentTextChar">
    <w:name w:val="Comment Text Char"/>
    <w:basedOn w:val="DefaultParagraphFont"/>
    <w:link w:val="CommentText"/>
    <w:uiPriority w:val="99"/>
    <w:semiHidden/>
    <w:rsid w:val="00765B5C"/>
    <w:rPr>
      <w:sz w:val="20"/>
      <w:szCs w:val="20"/>
    </w:rPr>
  </w:style>
  <w:style w:type="paragraph" w:styleId="CommentSubject">
    <w:name w:val="annotation subject"/>
    <w:basedOn w:val="CommentText"/>
    <w:next w:val="CommentText"/>
    <w:link w:val="CommentSubjectChar"/>
    <w:uiPriority w:val="99"/>
    <w:semiHidden/>
    <w:unhideWhenUsed/>
    <w:rsid w:val="00765B5C"/>
    <w:rPr>
      <w:b/>
      <w:bCs/>
    </w:rPr>
  </w:style>
  <w:style w:type="character" w:customStyle="1" w:styleId="CommentSubjectChar">
    <w:name w:val="Comment Subject Char"/>
    <w:basedOn w:val="CommentTextChar"/>
    <w:link w:val="CommentSubject"/>
    <w:uiPriority w:val="99"/>
    <w:semiHidden/>
    <w:rsid w:val="00765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ga.lt/lt/covid-19/kas-yra-sunkumu-patirianti-imone/sunkumu-vertinimo-skaiciuokle-di/" TargetMode="External"/><Relationship Id="rId13" Type="http://schemas.openxmlformats.org/officeDocument/2006/relationships/hyperlink" Target="https://invega.lt/lt/covid-19/kaip-deklaruoti-svv-subjekto-statusa/" TargetMode="External"/><Relationship Id="rId3" Type="http://schemas.openxmlformats.org/officeDocument/2006/relationships/settings" Target="settings.xml"/><Relationship Id="rId7" Type="http://schemas.openxmlformats.org/officeDocument/2006/relationships/hyperlink" Target="https://invega.lt/lt/covid-19/kas-yra-sunkumu-patirianti-imone/sunkumu-vertinimo-skaiciuokle-mvi/" TargetMode="External"/><Relationship Id="rId12" Type="http://schemas.openxmlformats.org/officeDocument/2006/relationships/hyperlink" Target="https://invega.lt/lt/covid-19/kas-yra-sunkumu-patirianti-imone/sunkumu-vertinimo-skaiciuokle-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ga.lt/lt/covid-19/kas-yra-sunkumu-patirianti-imone/" TargetMode="External"/><Relationship Id="rId11" Type="http://schemas.openxmlformats.org/officeDocument/2006/relationships/hyperlink" Target="https://invega.lt/lt/covid-19/kas-yra-sunkumu-patirianti-imone/sunkumu-vertinimo-skaiciuokle-mvi/" TargetMode="External"/><Relationship Id="rId5" Type="http://schemas.openxmlformats.org/officeDocument/2006/relationships/hyperlink" Target="https://invega.lt/lt/kvietimas-teikti-paraiskas-pagal-skatinamaja-finansine-priemone-paskolos-turizmo-ir-viesojo-maitinimo-paslaugu-teikejams/" TargetMode="External"/><Relationship Id="rId15" Type="http://schemas.openxmlformats.org/officeDocument/2006/relationships/theme" Target="theme/theme1.xml"/><Relationship Id="rId10" Type="http://schemas.openxmlformats.org/officeDocument/2006/relationships/hyperlink" Target="https://invega.lt/lt/covid-19/kas-yra-sunkumu-patirianti-imone/" TargetMode="External"/><Relationship Id="rId4" Type="http://schemas.openxmlformats.org/officeDocument/2006/relationships/webSettings" Target="webSettings.xml"/><Relationship Id="rId9" Type="http://schemas.openxmlformats.org/officeDocument/2006/relationships/hyperlink" Target="https://invega.lt/lt/covid-19/kaip-deklaruoti-svv-subjekto-stat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2943</Words>
  <Characters>16780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Rutkauskaitė</dc:creator>
  <cp:keywords/>
  <dc:description/>
  <cp:lastModifiedBy>LVRA Info</cp:lastModifiedBy>
  <cp:revision>2</cp:revision>
  <cp:lastPrinted>2020-07-15T06:53:00Z</cp:lastPrinted>
  <dcterms:created xsi:type="dcterms:W3CDTF">2020-07-15T09:54:00Z</dcterms:created>
  <dcterms:modified xsi:type="dcterms:W3CDTF">2020-07-15T09:54:00Z</dcterms:modified>
</cp:coreProperties>
</file>